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pPr>
        <w:pStyle w:val="Footer"/>
        <w:shd w:val="clear" w:color="auto" w:fill="FFFFFF"/>
        <w:spacing w:line="480" w:lineRule="auto"/>
        <w:jc w:val="both"/>
        <w:rPr>
          <w:rFonts w:ascii="Times New Roman" w:hAnsi="Times New Roman" w:cs="Times New Roman"/>
          <w:kern w:val="36"/>
          <w:sz w:val="28"/>
          <w:szCs w:val="24"/>
        </w:rPr>
      </w:pPr>
      <w:r>
        <w:rPr>
          <w:rFonts w:ascii="Times New Roman" w:hAnsi="Times New Roman" w:cs="Times New Roman"/>
          <w:kern w:val="36"/>
          <w:sz w:val="28"/>
          <w:szCs w:val="24"/>
        </w:rPr>
        <w:t xml:space="preserve">Wet Torrefaction of Biomass Waste into High Quality </w:t>
      </w:r>
      <w:proofErr w:type="spellStart"/>
      <w:r>
        <w:rPr>
          <w:rFonts w:ascii="Times New Roman" w:hAnsi="Times New Roman" w:cs="Times New Roman"/>
          <w:kern w:val="36"/>
          <w:sz w:val="28"/>
          <w:szCs w:val="24"/>
        </w:rPr>
        <w:t>Hydrochar</w:t>
      </w:r>
      <w:proofErr w:type="spellEnd"/>
      <w:r>
        <w:rPr>
          <w:rFonts w:ascii="Times New Roman" w:hAnsi="Times New Roman" w:cs="Times New Roman"/>
          <w:kern w:val="36"/>
          <w:sz w:val="28"/>
          <w:szCs w:val="24"/>
        </w:rPr>
        <w:t xml:space="preserve"> and Value-Added Liquid Products Using Different Zeolite Catalysts</w:t>
      </w:r>
    </w:p>
    <w:p>
      <w:pPr>
        <w:pStyle w:val="Footer"/>
        <w:shd w:val="clear" w:color="auto" w:fill="FFFFFF"/>
        <w:spacing w:line="480" w:lineRule="auto"/>
        <w:rPr>
          <w:rFonts w:ascii="Times New Roman" w:hAnsi="Times New Roman" w:cs="Times New Roman"/>
          <w:kern w:val="36"/>
          <w:sz w:val="28"/>
          <w:szCs w:val="24"/>
        </w:rPr>
      </w:pPr>
    </w:p>
    <w:p>
      <w:pPr>
        <w:pStyle w:val="HTMLPreformatted"/>
        <w:shd w:val="clear" w:color="auto" w:fill="FFFFFF"/>
        <w:spacing w:line="480" w:lineRule="auto"/>
        <w:rPr>
          <w:rFonts w:ascii="Times New Roman" w:hAnsi="Times New Roman" w:cs="Times New Roman"/>
          <w:color w:val="000000"/>
          <w:sz w:val="24"/>
          <w:szCs w:val="24"/>
          <w:vertAlign w:val="superscript"/>
        </w:rPr>
      </w:pPr>
      <w:bookmarkStart w:id="0" w:name="_Hlk105066656"/>
      <w:r>
        <w:rPr>
          <w:rFonts w:ascii="Times New Roman" w:hAnsi="Times New Roman" w:cs="Times New Roman"/>
          <w:color w:val="000000"/>
          <w:sz w:val="24"/>
          <w:szCs w:val="24"/>
        </w:rPr>
        <w:t xml:space="preserve">Andrii </w:t>
      </w:r>
      <w:proofErr w:type="spellStart"/>
      <w:r>
        <w:rPr>
          <w:rFonts w:ascii="Times New Roman" w:hAnsi="Times New Roman" w:cs="Times New Roman"/>
          <w:color w:val="000000"/>
          <w:sz w:val="24"/>
          <w:szCs w:val="24"/>
        </w:rPr>
        <w:t>Kostyniuk</w:t>
      </w:r>
      <w:r>
        <w:rPr>
          <w:rFonts w:ascii="Times New Roman" w:hAnsi="Times New Roman" w:cs="Times New Roman"/>
          <w:color w:val="000000"/>
          <w:sz w:val="24"/>
          <w:szCs w:val="24"/>
          <w:vertAlign w:val="superscript"/>
        </w:rPr>
        <w:t>a</w:t>
      </w:r>
      <w:proofErr w:type="spellEnd"/>
      <w:r>
        <w:rPr>
          <w:rStyle w:val="FootnoteReference"/>
        </w:rPr>
        <w:footnoteReference w:customMarkFollows="1" w:id="1"/>
        <w:sym w:font="Symbol" w:char="F02A"/>
      </w:r>
      <w:r>
        <w:rPr>
          <w:rFonts w:ascii="Times New Roman" w:hAnsi="Times New Roman" w:cs="Times New Roman"/>
          <w:color w:val="000000"/>
          <w:sz w:val="24"/>
          <w:szCs w:val="24"/>
        </w:rPr>
        <w:t xml:space="preserve">, </w:t>
      </w:r>
      <w:proofErr w:type="spellStart"/>
      <w:r>
        <w:rPr>
          <w:rFonts w:ascii="Times New Roman" w:hAnsi="Times New Roman" w:cs="Times New Roman"/>
          <w:sz w:val="24"/>
          <w:szCs w:val="24"/>
        </w:rPr>
        <w:t>Blaž</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Likozar</w:t>
      </w:r>
      <w:r>
        <w:rPr>
          <w:rFonts w:ascii="Times New Roman" w:hAnsi="Times New Roman" w:cs="Times New Roman"/>
          <w:sz w:val="24"/>
          <w:szCs w:val="24"/>
          <w:vertAlign w:val="superscript"/>
        </w:rPr>
        <w:t>a,b</w:t>
      </w:r>
      <w:proofErr w:type="gramEnd"/>
      <w:r>
        <w:rPr>
          <w:rFonts w:ascii="Times New Roman" w:hAnsi="Times New Roman" w:cs="Times New Roman"/>
          <w:sz w:val="24"/>
          <w:szCs w:val="24"/>
          <w:vertAlign w:val="superscript"/>
        </w:rPr>
        <w:t>,c,d</w:t>
      </w:r>
      <w:proofErr w:type="spellEnd"/>
    </w:p>
    <w:p>
      <w:pPr>
        <w:spacing w:after="0"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vertAlign w:val="superscript"/>
        </w:rPr>
        <w:t>a</w:t>
      </w:r>
      <w:r>
        <w:rPr>
          <w:rFonts w:ascii="Times New Roman" w:hAnsi="Times New Roman" w:cs="Times New Roman"/>
          <w:i/>
          <w:sz w:val="24"/>
          <w:szCs w:val="24"/>
        </w:rPr>
        <w:t>Department</w:t>
      </w:r>
      <w:proofErr w:type="spellEnd"/>
      <w:r>
        <w:rPr>
          <w:rFonts w:ascii="Times New Roman" w:hAnsi="Times New Roman" w:cs="Times New Roman"/>
          <w:i/>
          <w:sz w:val="24"/>
          <w:szCs w:val="24"/>
        </w:rPr>
        <w:t xml:space="preserve"> of Catalysis and Chemical Reaction Engineering, National Institute of Chemistry, </w:t>
      </w:r>
      <w:proofErr w:type="spellStart"/>
      <w:r>
        <w:rPr>
          <w:rFonts w:ascii="Times New Roman" w:hAnsi="Times New Roman" w:cs="Times New Roman"/>
          <w:i/>
          <w:sz w:val="24"/>
          <w:szCs w:val="24"/>
        </w:rPr>
        <w:t>Hajdrihova</w:t>
      </w:r>
      <w:proofErr w:type="spellEnd"/>
      <w:r>
        <w:rPr>
          <w:rFonts w:ascii="Times New Roman" w:hAnsi="Times New Roman" w:cs="Times New Roman"/>
          <w:i/>
          <w:sz w:val="24"/>
          <w:szCs w:val="24"/>
        </w:rPr>
        <w:t xml:space="preserve"> 19, Ljubljana, 1001, Slovenia</w:t>
      </w:r>
    </w:p>
    <w:p>
      <w:pPr>
        <w:spacing w:after="0" w:line="480" w:lineRule="auto"/>
        <w:jc w:val="both"/>
        <w:rPr>
          <w:rFonts w:ascii="Times New Roman" w:hAnsi="Times New Roman" w:cs="Times New Roman"/>
          <w:i/>
          <w:sz w:val="24"/>
          <w:szCs w:val="24"/>
        </w:rPr>
      </w:pPr>
      <w:proofErr w:type="spellStart"/>
      <w:r>
        <w:rPr>
          <w:rFonts w:ascii="Times New Roman" w:eastAsia="Times New Roman" w:hAnsi="Times New Roman" w:cs="Times New Roman"/>
          <w:i/>
          <w:sz w:val="24"/>
          <w:szCs w:val="24"/>
          <w:vertAlign w:val="superscript"/>
          <w:lang w:eastAsia="ru-RU"/>
        </w:rPr>
        <w:t>b</w:t>
      </w:r>
      <w:r>
        <w:rPr>
          <w:rFonts w:ascii="Times New Roman" w:hAnsi="Times New Roman" w:cs="Times New Roman"/>
          <w:i/>
          <w:sz w:val="24"/>
          <w:szCs w:val="24"/>
        </w:rPr>
        <w:t>Faculty</w:t>
      </w:r>
      <w:proofErr w:type="spellEnd"/>
      <w:r>
        <w:rPr>
          <w:rFonts w:ascii="Times New Roman" w:hAnsi="Times New Roman" w:cs="Times New Roman"/>
          <w:i/>
          <w:sz w:val="24"/>
          <w:szCs w:val="24"/>
        </w:rPr>
        <w:t xml:space="preserve"> of Polymer Technology, </w:t>
      </w:r>
      <w:proofErr w:type="spellStart"/>
      <w:r>
        <w:rPr>
          <w:rFonts w:ascii="Times New Roman" w:hAnsi="Times New Roman" w:cs="Times New Roman"/>
          <w:i/>
          <w:sz w:val="24"/>
          <w:szCs w:val="24"/>
        </w:rPr>
        <w:t>Slovenj</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Gradec</w:t>
      </w:r>
      <w:proofErr w:type="spellEnd"/>
      <w:r>
        <w:rPr>
          <w:rFonts w:ascii="Times New Roman" w:hAnsi="Times New Roman" w:cs="Times New Roman"/>
          <w:i/>
          <w:sz w:val="24"/>
          <w:szCs w:val="24"/>
        </w:rPr>
        <w:t xml:space="preserve"> 2380, Slovenia</w:t>
      </w:r>
    </w:p>
    <w:p>
      <w:pPr>
        <w:spacing w:after="0" w:line="480" w:lineRule="auto"/>
        <w:jc w:val="both"/>
        <w:rPr>
          <w:rFonts w:ascii="Times New Roman" w:hAnsi="Times New Roman" w:cs="Times New Roman"/>
          <w:i/>
          <w:sz w:val="24"/>
          <w:szCs w:val="24"/>
        </w:rPr>
      </w:pPr>
      <w:proofErr w:type="spellStart"/>
      <w:r>
        <w:rPr>
          <w:rFonts w:ascii="Times New Roman" w:eastAsia="Times New Roman" w:hAnsi="Times New Roman" w:cs="Times New Roman"/>
          <w:i/>
          <w:sz w:val="24"/>
          <w:szCs w:val="24"/>
          <w:vertAlign w:val="superscript"/>
          <w:lang w:eastAsia="ru-RU"/>
        </w:rPr>
        <w:t>c</w:t>
      </w:r>
      <w:r>
        <w:rPr>
          <w:rFonts w:ascii="Times New Roman" w:eastAsia="Times New Roman" w:hAnsi="Times New Roman" w:cs="Times New Roman"/>
          <w:i/>
          <w:sz w:val="24"/>
          <w:szCs w:val="24"/>
          <w:lang w:eastAsia="ru-RU"/>
        </w:rPr>
        <w:t>Pulp</w:t>
      </w:r>
      <w:proofErr w:type="spellEnd"/>
      <w:r>
        <w:rPr>
          <w:rFonts w:ascii="Times New Roman" w:eastAsia="Times New Roman" w:hAnsi="Times New Roman" w:cs="Times New Roman"/>
          <w:i/>
          <w:sz w:val="24"/>
          <w:szCs w:val="24"/>
          <w:lang w:eastAsia="ru-RU"/>
        </w:rPr>
        <w:t xml:space="preserve"> and Paper Institute, </w:t>
      </w:r>
      <w:proofErr w:type="spellStart"/>
      <w:r>
        <w:rPr>
          <w:rFonts w:ascii="Times New Roman" w:eastAsia="Times New Roman" w:hAnsi="Times New Roman" w:cs="Times New Roman"/>
          <w:i/>
          <w:sz w:val="24"/>
          <w:szCs w:val="24"/>
          <w:lang w:eastAsia="ru-RU"/>
        </w:rPr>
        <w:t>Bogišićeva</w:t>
      </w:r>
      <w:proofErr w:type="spellEnd"/>
      <w:r>
        <w:rPr>
          <w:rFonts w:ascii="Times New Roman" w:eastAsia="Times New Roman" w:hAnsi="Times New Roman" w:cs="Times New Roman"/>
          <w:i/>
          <w:sz w:val="24"/>
          <w:szCs w:val="24"/>
          <w:lang w:eastAsia="ru-RU"/>
        </w:rPr>
        <w:t xml:space="preserve"> 8, Ljubljana 1000, Slovenia</w:t>
      </w:r>
    </w:p>
    <w:p>
      <w:pPr>
        <w:shd w:val="clear" w:color="auto" w:fill="FFFFFF"/>
        <w:spacing w:after="0" w:line="480" w:lineRule="auto"/>
        <w:rPr>
          <w:rFonts w:ascii="Times New Roman" w:eastAsia="Times New Roman" w:hAnsi="Times New Roman" w:cs="Times New Roman"/>
          <w:i/>
          <w:sz w:val="24"/>
          <w:szCs w:val="24"/>
          <w:lang w:eastAsia="ru-RU"/>
        </w:rPr>
      </w:pPr>
      <w:proofErr w:type="spellStart"/>
      <w:r>
        <w:rPr>
          <w:rFonts w:ascii="Times New Roman" w:eastAsia="Times New Roman" w:hAnsi="Times New Roman" w:cs="Times New Roman"/>
          <w:i/>
          <w:sz w:val="24"/>
          <w:szCs w:val="24"/>
          <w:vertAlign w:val="superscript"/>
          <w:lang w:eastAsia="ru-RU"/>
        </w:rPr>
        <w:t>d</w:t>
      </w:r>
      <w:r>
        <w:rPr>
          <w:rFonts w:ascii="Times New Roman" w:eastAsia="Times New Roman" w:hAnsi="Times New Roman" w:cs="Times New Roman"/>
          <w:i/>
          <w:sz w:val="24"/>
          <w:szCs w:val="24"/>
          <w:lang w:eastAsia="ru-RU"/>
        </w:rPr>
        <w:t>Faculty</w:t>
      </w:r>
      <w:proofErr w:type="spellEnd"/>
      <w:r>
        <w:rPr>
          <w:rFonts w:ascii="Times New Roman" w:eastAsia="Times New Roman" w:hAnsi="Times New Roman" w:cs="Times New Roman"/>
          <w:i/>
          <w:sz w:val="24"/>
          <w:szCs w:val="24"/>
          <w:lang w:eastAsia="ru-RU"/>
        </w:rPr>
        <w:t xml:space="preserve"> of Chemistry and Chemical Technology, University of Ljubljana, </w:t>
      </w:r>
      <w:proofErr w:type="spellStart"/>
      <w:r>
        <w:rPr>
          <w:rFonts w:ascii="Times New Roman" w:eastAsia="Times New Roman" w:hAnsi="Times New Roman" w:cs="Times New Roman"/>
          <w:i/>
          <w:sz w:val="24"/>
          <w:szCs w:val="24"/>
          <w:lang w:eastAsia="ru-RU"/>
        </w:rPr>
        <w:t>Večna</w:t>
      </w:r>
      <w:proofErr w:type="spellEnd"/>
      <w:r>
        <w:rPr>
          <w:rFonts w:ascii="Times New Roman" w:eastAsia="Times New Roman" w:hAnsi="Times New Roman" w:cs="Times New Roman"/>
          <w:i/>
          <w:sz w:val="24"/>
          <w:szCs w:val="24"/>
          <w:lang w:eastAsia="ru-RU"/>
        </w:rPr>
        <w:t xml:space="preserve"> pot 113, Ljubljana 1000, Slovenia</w:t>
      </w:r>
    </w:p>
    <w:bookmarkEnd w:id="0"/>
    <w:p/>
    <w:p>
      <w:pPr>
        <w:spacing w:after="0" w:line="48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S1. Materials</w:t>
      </w:r>
    </w:p>
    <w:p>
      <w:pPr>
        <w:spacing w:after="0" w:line="480" w:lineRule="auto"/>
        <w:jc w:val="both"/>
        <w:rPr>
          <w:rFonts w:ascii="Times New Roman" w:hAnsi="Times New Roman" w:cs="Times New Roman"/>
          <w:sz w:val="24"/>
          <w:szCs w:val="24"/>
          <w:lang w:val="en-GB"/>
        </w:rPr>
      </w:pPr>
    </w:p>
    <w:p>
      <w:pPr>
        <w:spacing w:after="0" w:line="480" w:lineRule="auto"/>
        <w:ind w:firstLine="709"/>
        <w:jc w:val="both"/>
        <w:rPr>
          <w:rFonts w:ascii="Times New Roman" w:hAnsi="Times New Roman" w:cs="Times New Roman"/>
          <w:sz w:val="24"/>
          <w:szCs w:val="24"/>
          <w:lang w:val="en-GB"/>
        </w:rPr>
      </w:pPr>
      <w:bookmarkStart w:id="1" w:name="_Hlk152085918"/>
      <w:r>
        <w:rPr>
          <w:rFonts w:ascii="Times New Roman" w:hAnsi="Times New Roman" w:cs="Times New Roman"/>
          <w:sz w:val="24"/>
          <w:szCs w:val="24"/>
          <w:lang w:val="en-GB"/>
        </w:rPr>
        <w:t>The zeolite catalysts obtained from commercial suppliers include H-ZSM-5 (SiO</w:t>
      </w:r>
      <w:r>
        <w:rPr>
          <w:rFonts w:ascii="Times New Roman" w:hAnsi="Times New Roman" w:cs="Times New Roman"/>
          <w:sz w:val="24"/>
          <w:szCs w:val="24"/>
          <w:vertAlign w:val="subscript"/>
          <w:lang w:val="en-GB"/>
        </w:rPr>
        <w:t>2</w:t>
      </w:r>
      <w:r>
        <w:rPr>
          <w:rFonts w:ascii="Times New Roman" w:hAnsi="Times New Roman" w:cs="Times New Roman"/>
          <w:sz w:val="24"/>
          <w:szCs w:val="24"/>
          <w:lang w:val="en-GB"/>
        </w:rPr>
        <w:t>/Al</w:t>
      </w:r>
      <w:r>
        <w:rPr>
          <w:rFonts w:ascii="Times New Roman" w:hAnsi="Times New Roman" w:cs="Times New Roman"/>
          <w:sz w:val="24"/>
          <w:szCs w:val="24"/>
          <w:vertAlign w:val="subscript"/>
          <w:lang w:val="en-GB"/>
        </w:rPr>
        <w:t>2</w:t>
      </w:r>
      <w:r>
        <w:rPr>
          <w:rFonts w:ascii="Times New Roman" w:hAnsi="Times New Roman" w:cs="Times New Roman"/>
          <w:sz w:val="24"/>
          <w:szCs w:val="24"/>
          <w:lang w:val="en-GB"/>
        </w:rPr>
        <w:t>O</w:t>
      </w:r>
      <w:r>
        <w:rPr>
          <w:rFonts w:ascii="Times New Roman" w:hAnsi="Times New Roman" w:cs="Times New Roman"/>
          <w:sz w:val="24"/>
          <w:szCs w:val="24"/>
          <w:vertAlign w:val="subscript"/>
          <w:lang w:val="en-GB"/>
        </w:rPr>
        <w:t>3</w:t>
      </w:r>
      <w:r>
        <w:rPr>
          <w:rFonts w:ascii="Times New Roman" w:hAnsi="Times New Roman" w:cs="Times New Roman"/>
          <w:sz w:val="24"/>
          <w:szCs w:val="24"/>
          <w:lang w:val="en-GB"/>
        </w:rPr>
        <w:t xml:space="preserve"> = 30, </w:t>
      </w:r>
      <w:proofErr w:type="spellStart"/>
      <w:r>
        <w:rPr>
          <w:rFonts w:ascii="Times New Roman" w:hAnsi="Times New Roman" w:cs="Times New Roman"/>
          <w:sz w:val="24"/>
          <w:szCs w:val="24"/>
          <w:lang w:val="en-GB"/>
        </w:rPr>
        <w:t>Zeolyst</w:t>
      </w:r>
      <w:proofErr w:type="spellEnd"/>
      <w:r>
        <w:rPr>
          <w:rFonts w:ascii="Times New Roman" w:hAnsi="Times New Roman" w:cs="Times New Roman"/>
          <w:sz w:val="24"/>
          <w:szCs w:val="24"/>
          <w:lang w:val="en-GB"/>
        </w:rPr>
        <w:t xml:space="preserve"> International), H-Beta (SiO</w:t>
      </w:r>
      <w:r>
        <w:rPr>
          <w:rFonts w:ascii="Times New Roman" w:hAnsi="Times New Roman" w:cs="Times New Roman"/>
          <w:sz w:val="24"/>
          <w:szCs w:val="24"/>
          <w:vertAlign w:val="subscript"/>
          <w:lang w:val="en-GB"/>
        </w:rPr>
        <w:t>2</w:t>
      </w:r>
      <w:r>
        <w:rPr>
          <w:rFonts w:ascii="Times New Roman" w:hAnsi="Times New Roman" w:cs="Times New Roman"/>
          <w:sz w:val="24"/>
          <w:szCs w:val="24"/>
          <w:lang w:val="en-GB"/>
        </w:rPr>
        <w:t>/Al</w:t>
      </w:r>
      <w:r>
        <w:rPr>
          <w:rFonts w:ascii="Times New Roman" w:hAnsi="Times New Roman" w:cs="Times New Roman"/>
          <w:sz w:val="24"/>
          <w:szCs w:val="24"/>
          <w:vertAlign w:val="subscript"/>
          <w:lang w:val="en-GB"/>
        </w:rPr>
        <w:t>2</w:t>
      </w:r>
      <w:r>
        <w:rPr>
          <w:rFonts w:ascii="Times New Roman" w:hAnsi="Times New Roman" w:cs="Times New Roman"/>
          <w:sz w:val="24"/>
          <w:szCs w:val="24"/>
          <w:lang w:val="en-GB"/>
        </w:rPr>
        <w:t>O</w:t>
      </w:r>
      <w:r>
        <w:rPr>
          <w:rFonts w:ascii="Times New Roman" w:hAnsi="Times New Roman" w:cs="Times New Roman"/>
          <w:sz w:val="24"/>
          <w:szCs w:val="24"/>
          <w:vertAlign w:val="subscript"/>
          <w:lang w:val="en-GB"/>
        </w:rPr>
        <w:t>3</w:t>
      </w:r>
      <w:r>
        <w:rPr>
          <w:rFonts w:ascii="Times New Roman" w:hAnsi="Times New Roman" w:cs="Times New Roman"/>
          <w:sz w:val="24"/>
          <w:szCs w:val="24"/>
          <w:lang w:val="en-GB"/>
        </w:rPr>
        <w:t xml:space="preserve"> = 28, Tosoh Corporation), H-Y (SiO</w:t>
      </w:r>
      <w:r>
        <w:rPr>
          <w:rFonts w:ascii="Times New Roman" w:hAnsi="Times New Roman" w:cs="Times New Roman"/>
          <w:sz w:val="24"/>
          <w:szCs w:val="24"/>
          <w:vertAlign w:val="subscript"/>
          <w:lang w:val="en-GB"/>
        </w:rPr>
        <w:t>2</w:t>
      </w:r>
      <w:r>
        <w:rPr>
          <w:rFonts w:ascii="Times New Roman" w:hAnsi="Times New Roman" w:cs="Times New Roman"/>
          <w:sz w:val="24"/>
          <w:szCs w:val="24"/>
          <w:lang w:val="en-GB"/>
        </w:rPr>
        <w:t>/Al</w:t>
      </w:r>
      <w:r>
        <w:rPr>
          <w:rFonts w:ascii="Times New Roman" w:hAnsi="Times New Roman" w:cs="Times New Roman"/>
          <w:sz w:val="24"/>
          <w:szCs w:val="24"/>
          <w:vertAlign w:val="subscript"/>
          <w:lang w:val="en-GB"/>
        </w:rPr>
        <w:t>2</w:t>
      </w:r>
      <w:r>
        <w:rPr>
          <w:rFonts w:ascii="Times New Roman" w:hAnsi="Times New Roman" w:cs="Times New Roman"/>
          <w:sz w:val="24"/>
          <w:szCs w:val="24"/>
          <w:lang w:val="en-GB"/>
        </w:rPr>
        <w:t>O</w:t>
      </w:r>
      <w:r>
        <w:rPr>
          <w:rFonts w:ascii="Times New Roman" w:hAnsi="Times New Roman" w:cs="Times New Roman"/>
          <w:sz w:val="24"/>
          <w:szCs w:val="24"/>
          <w:vertAlign w:val="subscript"/>
          <w:lang w:val="en-GB"/>
        </w:rPr>
        <w:t>3</w:t>
      </w:r>
      <w:r>
        <w:rPr>
          <w:rFonts w:ascii="Times New Roman" w:hAnsi="Times New Roman" w:cs="Times New Roman"/>
          <w:sz w:val="24"/>
          <w:szCs w:val="24"/>
          <w:lang w:val="en-GB"/>
        </w:rPr>
        <w:t xml:space="preserve"> = 5.1, Tosoh Corporation), H-USY (SiO</w:t>
      </w:r>
      <w:r>
        <w:rPr>
          <w:rFonts w:ascii="Times New Roman" w:hAnsi="Times New Roman" w:cs="Times New Roman"/>
          <w:sz w:val="24"/>
          <w:szCs w:val="24"/>
          <w:vertAlign w:val="subscript"/>
          <w:lang w:val="en-GB"/>
        </w:rPr>
        <w:t>2</w:t>
      </w:r>
      <w:r>
        <w:rPr>
          <w:rFonts w:ascii="Times New Roman" w:hAnsi="Times New Roman" w:cs="Times New Roman"/>
          <w:sz w:val="24"/>
          <w:szCs w:val="24"/>
          <w:lang w:val="en-GB"/>
        </w:rPr>
        <w:t>/Al</w:t>
      </w:r>
      <w:r>
        <w:rPr>
          <w:rFonts w:ascii="Times New Roman" w:hAnsi="Times New Roman" w:cs="Times New Roman"/>
          <w:sz w:val="24"/>
          <w:szCs w:val="24"/>
          <w:vertAlign w:val="subscript"/>
          <w:lang w:val="en-GB"/>
        </w:rPr>
        <w:t>2</w:t>
      </w:r>
      <w:r>
        <w:rPr>
          <w:rFonts w:ascii="Times New Roman" w:hAnsi="Times New Roman" w:cs="Times New Roman"/>
          <w:sz w:val="24"/>
          <w:szCs w:val="24"/>
          <w:lang w:val="en-GB"/>
        </w:rPr>
        <w:t>O</w:t>
      </w:r>
      <w:r>
        <w:rPr>
          <w:rFonts w:ascii="Times New Roman" w:hAnsi="Times New Roman" w:cs="Times New Roman"/>
          <w:sz w:val="24"/>
          <w:szCs w:val="24"/>
          <w:vertAlign w:val="subscript"/>
          <w:lang w:val="en-GB"/>
        </w:rPr>
        <w:t>3</w:t>
      </w:r>
      <w:r>
        <w:rPr>
          <w:rFonts w:ascii="Times New Roman" w:hAnsi="Times New Roman" w:cs="Times New Roman"/>
          <w:sz w:val="24"/>
          <w:szCs w:val="24"/>
          <w:lang w:val="en-GB"/>
        </w:rPr>
        <w:t xml:space="preserve"> = 10, Tosoh Corporation), and H-Mordenite (SiO</w:t>
      </w:r>
      <w:r>
        <w:rPr>
          <w:rFonts w:ascii="Times New Roman" w:hAnsi="Times New Roman" w:cs="Times New Roman"/>
          <w:sz w:val="24"/>
          <w:szCs w:val="24"/>
          <w:vertAlign w:val="subscript"/>
          <w:lang w:val="en-GB"/>
        </w:rPr>
        <w:t>2</w:t>
      </w:r>
      <w:r>
        <w:rPr>
          <w:rFonts w:ascii="Times New Roman" w:hAnsi="Times New Roman" w:cs="Times New Roman"/>
          <w:sz w:val="24"/>
          <w:szCs w:val="24"/>
          <w:lang w:val="en-GB"/>
        </w:rPr>
        <w:t>/Al</w:t>
      </w:r>
      <w:r>
        <w:rPr>
          <w:rFonts w:ascii="Times New Roman" w:hAnsi="Times New Roman" w:cs="Times New Roman"/>
          <w:sz w:val="24"/>
          <w:szCs w:val="24"/>
          <w:vertAlign w:val="subscript"/>
          <w:lang w:val="en-GB"/>
        </w:rPr>
        <w:t>2</w:t>
      </w:r>
      <w:r>
        <w:rPr>
          <w:rFonts w:ascii="Times New Roman" w:hAnsi="Times New Roman" w:cs="Times New Roman"/>
          <w:sz w:val="24"/>
          <w:szCs w:val="24"/>
          <w:lang w:val="en-GB"/>
        </w:rPr>
        <w:t>O</w:t>
      </w:r>
      <w:r>
        <w:rPr>
          <w:rFonts w:ascii="Times New Roman" w:hAnsi="Times New Roman" w:cs="Times New Roman"/>
          <w:sz w:val="24"/>
          <w:szCs w:val="24"/>
          <w:vertAlign w:val="subscript"/>
          <w:lang w:val="en-GB"/>
        </w:rPr>
        <w:t>3</w:t>
      </w:r>
      <w:r>
        <w:rPr>
          <w:rFonts w:ascii="Times New Roman" w:hAnsi="Times New Roman" w:cs="Times New Roman"/>
          <w:sz w:val="24"/>
          <w:szCs w:val="24"/>
          <w:lang w:val="en-GB"/>
        </w:rPr>
        <w:t xml:space="preserve"> = 15, Tosoh Corporation). All employed zeolites underwent a calcination process at 550 °C (10 °C/min) in the air for 6 hours to eliminate impurities. </w:t>
      </w:r>
      <w:bookmarkEnd w:id="1"/>
      <w:r>
        <w:rPr>
          <w:rFonts w:ascii="Times New Roman" w:hAnsi="Times New Roman" w:cs="Times New Roman"/>
          <w:sz w:val="24"/>
          <w:szCs w:val="24"/>
          <w:lang w:val="en-GB"/>
        </w:rPr>
        <w:t xml:space="preserve">The specific chemicals and their respective suppliers are outlined below: ethanol (&gt;99.8%, Merck), </w:t>
      </w:r>
      <w:proofErr w:type="spellStart"/>
      <w:r>
        <w:rPr>
          <w:rFonts w:ascii="Times New Roman" w:hAnsi="Times New Roman" w:cs="Times New Roman"/>
          <w:sz w:val="24"/>
          <w:szCs w:val="24"/>
          <w:lang w:val="en-GB"/>
        </w:rPr>
        <w:t>levulinic</w:t>
      </w:r>
      <w:proofErr w:type="spellEnd"/>
      <w:r>
        <w:rPr>
          <w:rFonts w:ascii="Times New Roman" w:hAnsi="Times New Roman" w:cs="Times New Roman"/>
          <w:sz w:val="24"/>
          <w:szCs w:val="24"/>
          <w:lang w:val="en-GB"/>
        </w:rPr>
        <w:t xml:space="preserve"> acid (99.5%, Merck), </w:t>
      </w:r>
      <w:proofErr w:type="spellStart"/>
      <w:r>
        <w:rPr>
          <w:rFonts w:ascii="Times New Roman" w:hAnsi="Times New Roman" w:cs="Times New Roman"/>
          <w:sz w:val="24"/>
          <w:szCs w:val="24"/>
          <w:lang w:val="en-GB"/>
        </w:rPr>
        <w:t>hydroxyacetone</w:t>
      </w:r>
      <w:proofErr w:type="spellEnd"/>
      <w:r>
        <w:rPr>
          <w:rFonts w:ascii="Times New Roman" w:hAnsi="Times New Roman" w:cs="Times New Roman"/>
          <w:sz w:val="24"/>
          <w:szCs w:val="24"/>
          <w:lang w:val="en-GB"/>
        </w:rPr>
        <w:t xml:space="preserve"> (99.5%, Merck), 5-hydroxymethylfurfural (&gt;97 </w:t>
      </w:r>
      <w:proofErr w:type="spellStart"/>
      <w:r>
        <w:rPr>
          <w:rFonts w:ascii="Times New Roman" w:hAnsi="Times New Roman" w:cs="Times New Roman"/>
          <w:sz w:val="24"/>
          <w:szCs w:val="24"/>
          <w:lang w:val="en-GB"/>
        </w:rPr>
        <w:t>wt</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Carbosynth</w:t>
      </w:r>
      <w:proofErr w:type="spellEnd"/>
      <w:r>
        <w:rPr>
          <w:rFonts w:ascii="Times New Roman" w:hAnsi="Times New Roman" w:cs="Times New Roman"/>
          <w:sz w:val="24"/>
          <w:szCs w:val="24"/>
          <w:lang w:val="en-GB"/>
        </w:rPr>
        <w:t xml:space="preserve">, FH10853), 5-methylfurfural (99 </w:t>
      </w:r>
      <w:proofErr w:type="spellStart"/>
      <w:r>
        <w:rPr>
          <w:rFonts w:ascii="Times New Roman" w:hAnsi="Times New Roman" w:cs="Times New Roman"/>
          <w:sz w:val="24"/>
          <w:szCs w:val="24"/>
          <w:lang w:val="en-GB"/>
        </w:rPr>
        <w:t>wt</w:t>
      </w:r>
      <w:proofErr w:type="spellEnd"/>
      <w:r>
        <w:rPr>
          <w:rFonts w:ascii="Times New Roman" w:hAnsi="Times New Roman" w:cs="Times New Roman"/>
          <w:sz w:val="24"/>
          <w:szCs w:val="24"/>
          <w:lang w:val="en-GB"/>
        </w:rPr>
        <w:t xml:space="preserve">%, Merck), furfural (&gt;99 </w:t>
      </w:r>
      <w:proofErr w:type="spellStart"/>
      <w:r>
        <w:rPr>
          <w:rFonts w:ascii="Times New Roman" w:hAnsi="Times New Roman" w:cs="Times New Roman"/>
          <w:sz w:val="24"/>
          <w:szCs w:val="24"/>
          <w:lang w:val="en-GB"/>
        </w:rPr>
        <w:t>wt</w:t>
      </w:r>
      <w:proofErr w:type="spellEnd"/>
      <w:r>
        <w:rPr>
          <w:rFonts w:ascii="Times New Roman" w:hAnsi="Times New Roman" w:cs="Times New Roman"/>
          <w:sz w:val="24"/>
          <w:szCs w:val="24"/>
          <w:lang w:val="en-GB"/>
        </w:rPr>
        <w:t xml:space="preserve">%, Merck), methanol (&gt;99.9%, Merck), guaiacol </w:t>
      </w:r>
      <w:r>
        <w:rPr>
          <w:rFonts w:ascii="Times New Roman" w:hAnsi="Times New Roman" w:cs="Times New Roman"/>
          <w:sz w:val="24"/>
          <w:szCs w:val="24"/>
          <w:lang w:val="en-GB"/>
        </w:rPr>
        <w:lastRenderedPageBreak/>
        <w:t xml:space="preserve">(99.5%, Merck), 2,3-butanedione (99%, Merck), phenol (≥98.5%, Merck), 2-butanone (99.5%, Merck), acetone (&gt;99.5%, Merck), acetoin (&gt;99.5%, Merck), acetic acid (&gt;99.7%, Merck), cyclopentenone (&gt;99%, Merck), acetylacetone (&gt;99%, Merck), 2,5-hexanedione (&gt;99.5%, Merck), hydrogen (5.0, Messer, Germany), nitrogen (5.0, Messer, Germany), helium (5.0, Messer, Germany). </w:t>
      </w:r>
    </w:p>
    <w:p>
      <w:pPr>
        <w:rPr>
          <w:lang w:val="en-GB"/>
        </w:rPr>
      </w:pPr>
    </w:p>
    <w:p>
      <w:pPr>
        <w:spacing w:after="0" w:line="480" w:lineRule="auto"/>
        <w:jc w:val="both"/>
        <w:rPr>
          <w:rFonts w:ascii="Times New Roman" w:hAnsi="Times New Roman" w:cs="Times New Roman"/>
          <w:sz w:val="24"/>
          <w:szCs w:val="24"/>
          <w:lang w:val="en-GB"/>
        </w:rPr>
      </w:pPr>
      <w:r>
        <w:rPr>
          <w:rFonts w:ascii="Times New Roman" w:hAnsi="Times New Roman" w:cs="Times New Roman"/>
          <w:b/>
          <w:bCs/>
          <w:sz w:val="24"/>
          <w:szCs w:val="24"/>
          <w:lang w:val="en-GB"/>
        </w:rPr>
        <w:t>Table S1</w:t>
      </w:r>
    </w:p>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Composition of the wood cellulose pulp residue (WCPR).</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6"/>
        <w:gridCol w:w="2716"/>
        <w:gridCol w:w="2063"/>
        <w:gridCol w:w="842"/>
        <w:gridCol w:w="1013"/>
      </w:tblGrid>
      <w:tr>
        <w:trPr>
          <w:trHeight w:val="300"/>
        </w:trPr>
        <w:tc>
          <w:tcPr>
            <w:tcW w:w="1456" w:type="pct"/>
            <w:tcBorders>
              <w:top w:val="single" w:sz="4" w:space="0" w:color="auto"/>
            </w:tcBorders>
            <w:noWrap/>
            <w:hideMark/>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Glucan (</w:t>
            </w:r>
            <w:proofErr w:type="spellStart"/>
            <w:r>
              <w:rPr>
                <w:rFonts w:ascii="Times New Roman" w:hAnsi="Times New Roman" w:cs="Times New Roman"/>
                <w:sz w:val="24"/>
                <w:szCs w:val="24"/>
                <w:lang w:val="en-GB"/>
              </w:rPr>
              <w:t>wt</w:t>
            </w:r>
            <w:proofErr w:type="spellEnd"/>
            <w:r>
              <w:rPr>
                <w:rFonts w:ascii="Times New Roman" w:hAnsi="Times New Roman" w:cs="Times New Roman"/>
                <w:sz w:val="24"/>
                <w:szCs w:val="24"/>
                <w:lang w:val="en-GB"/>
              </w:rPr>
              <w:t>% dry)</w:t>
            </w:r>
          </w:p>
        </w:tc>
        <w:tc>
          <w:tcPr>
            <w:tcW w:w="1451" w:type="pct"/>
            <w:tcBorders>
              <w:top w:val="single" w:sz="4" w:space="0" w:color="auto"/>
            </w:tcBorders>
            <w:noWrap/>
            <w:hideMark/>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Lignin AIL − ash</w:t>
            </w:r>
          </w:p>
        </w:tc>
        <w:tc>
          <w:tcPr>
            <w:tcW w:w="1102" w:type="pct"/>
            <w:tcBorders>
              <w:top w:val="single" w:sz="4" w:space="0" w:color="auto"/>
            </w:tcBorders>
            <w:noWrap/>
            <w:hideMark/>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Lignin ASL</w:t>
            </w:r>
          </w:p>
        </w:tc>
        <w:tc>
          <w:tcPr>
            <w:tcW w:w="450" w:type="pct"/>
            <w:tcBorders>
              <w:top w:val="single" w:sz="4" w:space="0" w:color="auto"/>
            </w:tcBorders>
            <w:noWrap/>
            <w:hideMark/>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Ash</w:t>
            </w:r>
          </w:p>
        </w:tc>
        <w:tc>
          <w:tcPr>
            <w:tcW w:w="540" w:type="pct"/>
            <w:tcBorders>
              <w:top w:val="single" w:sz="4" w:space="0" w:color="auto"/>
            </w:tcBorders>
            <w:noWrap/>
            <w:hideMark/>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Total</w:t>
            </w:r>
          </w:p>
        </w:tc>
      </w:tr>
      <w:tr>
        <w:trPr>
          <w:trHeight w:val="300"/>
        </w:trPr>
        <w:tc>
          <w:tcPr>
            <w:tcW w:w="1456" w:type="pct"/>
            <w:noWrap/>
            <w:hideMark/>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62.26</w:t>
            </w:r>
          </w:p>
        </w:tc>
        <w:tc>
          <w:tcPr>
            <w:tcW w:w="1451" w:type="pct"/>
            <w:noWrap/>
            <w:hideMark/>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30.90</w:t>
            </w:r>
          </w:p>
        </w:tc>
        <w:tc>
          <w:tcPr>
            <w:tcW w:w="1102" w:type="pct"/>
            <w:noWrap/>
            <w:hideMark/>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0.14</w:t>
            </w:r>
          </w:p>
        </w:tc>
        <w:tc>
          <w:tcPr>
            <w:tcW w:w="450" w:type="pct"/>
            <w:noWrap/>
            <w:hideMark/>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1.4</w:t>
            </w:r>
          </w:p>
        </w:tc>
        <w:tc>
          <w:tcPr>
            <w:tcW w:w="540" w:type="pct"/>
            <w:noWrap/>
            <w:hideMark/>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94.7</w:t>
            </w:r>
          </w:p>
        </w:tc>
      </w:tr>
      <w:tr>
        <w:trPr>
          <w:trHeight w:val="300"/>
        </w:trPr>
        <w:tc>
          <w:tcPr>
            <w:tcW w:w="1456" w:type="pct"/>
            <w:noWrap/>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Lignin AIL</w:t>
            </w:r>
          </w:p>
        </w:tc>
        <w:tc>
          <w:tcPr>
            <w:tcW w:w="3544" w:type="pct"/>
            <w:gridSpan w:val="4"/>
            <w:noWrap/>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Acid Insoluble Lignin</w:t>
            </w:r>
          </w:p>
        </w:tc>
      </w:tr>
      <w:tr>
        <w:trPr>
          <w:trHeight w:val="300"/>
        </w:trPr>
        <w:tc>
          <w:tcPr>
            <w:tcW w:w="1456" w:type="pct"/>
            <w:tcBorders>
              <w:bottom w:val="single" w:sz="4" w:space="0" w:color="auto"/>
            </w:tcBorders>
            <w:noWrap/>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Lignin ASL</w:t>
            </w:r>
          </w:p>
        </w:tc>
        <w:tc>
          <w:tcPr>
            <w:tcW w:w="3544" w:type="pct"/>
            <w:gridSpan w:val="4"/>
            <w:tcBorders>
              <w:bottom w:val="single" w:sz="4" w:space="0" w:color="auto"/>
            </w:tcBorders>
            <w:noWrap/>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Acid Soluble Lignin</w:t>
            </w:r>
          </w:p>
        </w:tc>
      </w:tr>
    </w:tbl>
    <w:p/>
    <w:p>
      <w:pPr>
        <w:spacing w:after="0" w:line="480" w:lineRule="auto"/>
        <w:rPr>
          <w:rFonts w:ascii="Times New Roman" w:hAnsi="Times New Roman" w:cs="Times New Roman"/>
          <w:bCs/>
          <w:sz w:val="24"/>
          <w:szCs w:val="24"/>
          <w:lang w:val="en-GB"/>
        </w:rPr>
      </w:pPr>
      <w:r>
        <w:rPr>
          <w:rFonts w:ascii="Times New Roman" w:hAnsi="Times New Roman" w:cs="Times New Roman"/>
          <w:noProof/>
          <w:sz w:val="24"/>
          <w:szCs w:val="24"/>
          <w:lang w:val="en-GB"/>
        </w:rPr>
        <w:drawing>
          <wp:inline distT="0" distB="0" distL="0" distR="0">
            <wp:extent cx="3870251" cy="2752178"/>
            <wp:effectExtent l="0" t="0" r="0" b="0"/>
            <wp:docPr id="2" name="Picture 2" descr="Reactor Systems - National Institute of Chemistry">
              <a:extLst xmlns:a="http://schemas.openxmlformats.org/drawingml/2006/main">
                <a:ext uri="{FF2B5EF4-FFF2-40B4-BE49-F238E27FC236}">
                  <a16:creationId xmlns:a16="http://schemas.microsoft.com/office/drawing/2014/main" id="{3354F538-4F8D-4C57-9A15-AC59E6CAA1E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 descr="Reactor Systems - National Institute of Chemistry">
                      <a:extLst>
                        <a:ext uri="{FF2B5EF4-FFF2-40B4-BE49-F238E27FC236}">
                          <a16:creationId xmlns:a16="http://schemas.microsoft.com/office/drawing/2014/main" id="{3354F538-4F8D-4C57-9A15-AC59E6CAA1E0}"/>
                        </a:ext>
                      </a:extLst>
                    </pic:cNvPr>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877605" cy="2757408"/>
                    </a:xfrm>
                    <a:prstGeom prst="rect">
                      <a:avLst/>
                    </a:prstGeom>
                    <a:noFill/>
                  </pic:spPr>
                </pic:pic>
              </a:graphicData>
            </a:graphic>
          </wp:inline>
        </w:drawing>
      </w:r>
    </w:p>
    <w:p>
      <w:pPr>
        <w:spacing w:after="0"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 xml:space="preserve">Fig. S1. </w:t>
      </w:r>
      <w:r>
        <w:rPr>
          <w:rFonts w:ascii="Times New Roman" w:hAnsi="Times New Roman" w:cs="Times New Roman"/>
          <w:bCs/>
          <w:sz w:val="24"/>
          <w:szCs w:val="24"/>
          <w:lang w:val="en-GB"/>
        </w:rPr>
        <w:t>Stainless steel (Parr) batch reactors utilized for WT of WCPR.</w:t>
      </w:r>
    </w:p>
    <w:p>
      <w:pPr>
        <w:sectPr>
          <w:footerReference w:type="default" r:id="rId8"/>
          <w:pgSz w:w="12240" w:h="15840"/>
          <w:pgMar w:top="1440" w:right="1440" w:bottom="1440" w:left="1440" w:header="720" w:footer="720" w:gutter="0"/>
          <w:cols w:space="720"/>
          <w:docGrid w:linePitch="360"/>
        </w:sectPr>
      </w:pPr>
    </w:p>
    <w:p>
      <w:pPr>
        <w:spacing w:after="0" w:line="480" w:lineRule="auto"/>
        <w:contextualSpacing/>
        <w:rPr>
          <w:rFonts w:ascii="Times New Roman" w:hAnsi="Times New Roman" w:cs="Times New Roman"/>
          <w:b/>
          <w:sz w:val="24"/>
          <w:szCs w:val="24"/>
          <w:lang w:val="en-GB"/>
        </w:rPr>
      </w:pPr>
      <w:r>
        <w:rPr>
          <w:rFonts w:ascii="Times New Roman" w:hAnsi="Times New Roman" w:cs="Times New Roman"/>
          <w:b/>
          <w:sz w:val="24"/>
          <w:szCs w:val="24"/>
          <w:lang w:val="en-GB"/>
        </w:rPr>
        <w:lastRenderedPageBreak/>
        <w:t>Table S2</w:t>
      </w:r>
    </w:p>
    <w:p>
      <w:pPr>
        <w:spacing w:after="0" w:line="480" w:lineRule="auto"/>
        <w:contextualSpacing/>
        <w:rPr>
          <w:rFonts w:ascii="Times New Roman" w:hAnsi="Times New Roman" w:cs="Times New Roman"/>
          <w:sz w:val="24"/>
          <w:szCs w:val="24"/>
          <w:lang w:val="en-GB"/>
        </w:rPr>
      </w:pPr>
      <w:r>
        <w:rPr>
          <w:rFonts w:ascii="Times New Roman" w:hAnsi="Times New Roman" w:cs="Times New Roman"/>
          <w:sz w:val="24"/>
          <w:szCs w:val="24"/>
          <w:lang w:val="en-GB"/>
        </w:rPr>
        <w:t>Chemical analysis and structural properties of the different zeolite catalysts.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50"/>
        <w:gridCol w:w="1417"/>
        <w:gridCol w:w="843"/>
        <w:gridCol w:w="843"/>
        <w:gridCol w:w="843"/>
        <w:gridCol w:w="949"/>
        <w:gridCol w:w="949"/>
        <w:gridCol w:w="949"/>
        <w:gridCol w:w="710"/>
        <w:gridCol w:w="2541"/>
        <w:gridCol w:w="1466"/>
      </w:tblGrid>
      <w:tr>
        <w:trPr>
          <w:trHeight w:val="973"/>
          <w:jc w:val="center"/>
        </w:trPr>
        <w:tc>
          <w:tcPr>
            <w:tcW w:w="0" w:type="auto"/>
            <w:tcBorders>
              <w:top w:val="single" w:sz="4" w:space="0" w:color="auto"/>
            </w:tcBorders>
            <w:vAlign w:val="center"/>
          </w:tcPr>
          <w:p>
            <w:pPr>
              <w:spacing w:line="480" w:lineRule="auto"/>
              <w:jc w:val="center"/>
              <w:rPr>
                <w:rFonts w:ascii="Times New Roman" w:hAnsi="Times New Roman" w:cs="Times New Roman"/>
                <w:b/>
                <w:color w:val="000000"/>
                <w:sz w:val="24"/>
                <w:szCs w:val="24"/>
                <w:lang w:val="en-US" w:eastAsia="en-ZA"/>
              </w:rPr>
            </w:pPr>
            <w:r>
              <w:rPr>
                <w:rFonts w:ascii="Times New Roman" w:hAnsi="Times New Roman" w:cs="Times New Roman"/>
                <w:b/>
                <w:color w:val="000000"/>
                <w:sz w:val="24"/>
                <w:szCs w:val="24"/>
                <w:lang w:val="en-US" w:eastAsia="en-ZA"/>
              </w:rPr>
              <w:t>Catalyst</w:t>
            </w:r>
          </w:p>
        </w:tc>
        <w:tc>
          <w:tcPr>
            <w:tcW w:w="0" w:type="auto"/>
            <w:tcBorders>
              <w:top w:val="single" w:sz="4" w:space="0" w:color="auto"/>
            </w:tcBorders>
            <w:vAlign w:val="center"/>
          </w:tcPr>
          <w:p>
            <w:pPr>
              <w:spacing w:line="480" w:lineRule="auto"/>
              <w:jc w:val="center"/>
              <w:rPr>
                <w:rFonts w:ascii="Times New Roman" w:hAnsi="Times New Roman" w:cs="Times New Roman"/>
                <w:b/>
                <w:color w:val="000000"/>
                <w:sz w:val="24"/>
                <w:szCs w:val="24"/>
                <w:lang w:val="en-US"/>
              </w:rPr>
            </w:pPr>
            <w:r>
              <w:rPr>
                <w:rFonts w:ascii="Times New Roman" w:hAnsi="Times New Roman" w:cs="Times New Roman"/>
                <w:b/>
                <w:color w:val="000000"/>
                <w:sz w:val="24"/>
                <w:szCs w:val="24"/>
                <w:lang w:val="en-US"/>
              </w:rPr>
              <w:t>SiO</w:t>
            </w:r>
            <w:r>
              <w:rPr>
                <w:rFonts w:ascii="Times New Roman" w:hAnsi="Times New Roman" w:cs="Times New Roman"/>
                <w:b/>
                <w:color w:val="000000"/>
                <w:sz w:val="24"/>
                <w:szCs w:val="24"/>
                <w:vertAlign w:val="subscript"/>
                <w:lang w:val="en-US"/>
              </w:rPr>
              <w:t>2</w:t>
            </w:r>
            <w:r>
              <w:rPr>
                <w:rFonts w:ascii="Times New Roman" w:hAnsi="Times New Roman" w:cs="Times New Roman"/>
                <w:b/>
                <w:color w:val="000000"/>
                <w:sz w:val="24"/>
                <w:szCs w:val="24"/>
                <w:lang w:val="en-US"/>
              </w:rPr>
              <w:t>/Al</w:t>
            </w:r>
            <w:r>
              <w:rPr>
                <w:rFonts w:ascii="Times New Roman" w:hAnsi="Times New Roman" w:cs="Times New Roman"/>
                <w:b/>
                <w:color w:val="000000"/>
                <w:sz w:val="24"/>
                <w:szCs w:val="24"/>
                <w:vertAlign w:val="subscript"/>
                <w:lang w:val="en-US"/>
              </w:rPr>
              <w:t>2</w:t>
            </w:r>
            <w:r>
              <w:rPr>
                <w:rFonts w:ascii="Times New Roman" w:hAnsi="Times New Roman" w:cs="Times New Roman"/>
                <w:b/>
                <w:color w:val="000000"/>
                <w:sz w:val="24"/>
                <w:szCs w:val="24"/>
                <w:lang w:val="en-US"/>
              </w:rPr>
              <w:t>O</w:t>
            </w:r>
            <w:r>
              <w:rPr>
                <w:rFonts w:ascii="Times New Roman" w:hAnsi="Times New Roman" w:cs="Times New Roman"/>
                <w:b/>
                <w:color w:val="000000"/>
                <w:sz w:val="24"/>
                <w:szCs w:val="24"/>
                <w:vertAlign w:val="subscript"/>
                <w:lang w:val="en-US"/>
              </w:rPr>
              <w:t>3</w:t>
            </w:r>
            <w:r>
              <w:rPr>
                <w:rFonts w:ascii="Times New Roman" w:hAnsi="Times New Roman" w:cs="Times New Roman"/>
                <w:b/>
                <w:color w:val="000000"/>
                <w:sz w:val="24"/>
                <w:szCs w:val="24"/>
                <w:vertAlign w:val="superscript"/>
                <w:lang w:val="en-US"/>
              </w:rPr>
              <w:t>a</w:t>
            </w:r>
          </w:p>
          <w:p>
            <w:pPr>
              <w:spacing w:line="480" w:lineRule="auto"/>
              <w:jc w:val="center"/>
              <w:rPr>
                <w:rFonts w:ascii="Times New Roman" w:hAnsi="Times New Roman" w:cs="Times New Roman"/>
                <w:b/>
                <w:color w:val="000000"/>
                <w:sz w:val="24"/>
                <w:szCs w:val="24"/>
                <w:lang w:val="en-US"/>
              </w:rPr>
            </w:pPr>
            <w:r>
              <w:rPr>
                <w:rFonts w:ascii="Times New Roman" w:hAnsi="Times New Roman" w:cs="Times New Roman"/>
                <w:b/>
                <w:color w:val="000000"/>
                <w:sz w:val="24"/>
                <w:szCs w:val="24"/>
                <w:lang w:val="en-US"/>
              </w:rPr>
              <w:t>ratio</w:t>
            </w:r>
          </w:p>
        </w:tc>
        <w:tc>
          <w:tcPr>
            <w:tcW w:w="0" w:type="auto"/>
            <w:tcBorders>
              <w:top w:val="single" w:sz="4" w:space="0" w:color="auto"/>
            </w:tcBorders>
            <w:vAlign w:val="center"/>
          </w:tcPr>
          <w:p>
            <w:pPr>
              <w:spacing w:line="480" w:lineRule="auto"/>
              <w:jc w:val="center"/>
              <w:rPr>
                <w:rFonts w:ascii="Times New Roman" w:hAnsi="Times New Roman" w:cs="Times New Roman"/>
                <w:b/>
                <w:sz w:val="24"/>
                <w:szCs w:val="24"/>
                <w:vertAlign w:val="superscript"/>
                <w:lang w:val="en-US"/>
              </w:rPr>
            </w:pPr>
            <w:proofErr w:type="spellStart"/>
            <w:r>
              <w:rPr>
                <w:rFonts w:ascii="Times New Roman" w:hAnsi="Times New Roman" w:cs="Times New Roman"/>
                <w:b/>
                <w:sz w:val="24"/>
                <w:szCs w:val="24"/>
                <w:lang w:val="en-US"/>
              </w:rPr>
              <w:t>S</w:t>
            </w:r>
            <w:r>
              <w:rPr>
                <w:rFonts w:ascii="Times New Roman" w:hAnsi="Times New Roman" w:cs="Times New Roman"/>
                <w:b/>
                <w:sz w:val="24"/>
                <w:szCs w:val="24"/>
                <w:vertAlign w:val="subscript"/>
                <w:lang w:val="en-US"/>
              </w:rPr>
              <w:t>BET</w:t>
            </w:r>
            <w:r>
              <w:rPr>
                <w:rFonts w:ascii="Times New Roman" w:hAnsi="Times New Roman" w:cs="Times New Roman"/>
                <w:b/>
                <w:sz w:val="24"/>
                <w:szCs w:val="24"/>
                <w:vertAlign w:val="superscript"/>
                <w:lang w:val="en-US"/>
              </w:rPr>
              <w:t>b</w:t>
            </w:r>
            <w:proofErr w:type="spellEnd"/>
          </w:p>
          <w:p>
            <w:pPr>
              <w:spacing w:line="480" w:lineRule="auto"/>
              <w:jc w:val="center"/>
              <w:rPr>
                <w:rFonts w:ascii="Times New Roman" w:hAnsi="Times New Roman" w:cs="Times New Roman"/>
                <w:b/>
                <w:color w:val="000000"/>
                <w:sz w:val="24"/>
                <w:szCs w:val="24"/>
                <w:lang w:val="en-US" w:eastAsia="en-ZA"/>
              </w:rPr>
            </w:pPr>
            <w:r>
              <w:rPr>
                <w:rFonts w:ascii="Times New Roman" w:hAnsi="Times New Roman" w:cs="Times New Roman"/>
                <w:b/>
                <w:sz w:val="24"/>
                <w:szCs w:val="24"/>
                <w:lang w:val="en-US"/>
              </w:rPr>
              <w:t>(m</w:t>
            </w:r>
            <w:r>
              <w:rPr>
                <w:rFonts w:ascii="Times New Roman" w:hAnsi="Times New Roman" w:cs="Times New Roman"/>
                <w:b/>
                <w:sz w:val="24"/>
                <w:szCs w:val="24"/>
                <w:vertAlign w:val="superscript"/>
                <w:lang w:val="en-US"/>
              </w:rPr>
              <w:t>2</w:t>
            </w:r>
            <w:r>
              <w:rPr>
                <w:rFonts w:ascii="Times New Roman" w:hAnsi="Times New Roman" w:cs="Times New Roman"/>
                <w:b/>
                <w:sz w:val="24"/>
                <w:szCs w:val="24"/>
                <w:lang w:val="en-US"/>
              </w:rPr>
              <w:t>/g)</w:t>
            </w:r>
          </w:p>
        </w:tc>
        <w:tc>
          <w:tcPr>
            <w:tcW w:w="0" w:type="auto"/>
            <w:tcBorders>
              <w:top w:val="single" w:sz="4" w:space="0" w:color="auto"/>
            </w:tcBorders>
            <w:vAlign w:val="center"/>
          </w:tcPr>
          <w:p>
            <w:pPr>
              <w:spacing w:line="480" w:lineRule="auto"/>
              <w:jc w:val="center"/>
              <w:rPr>
                <w:rFonts w:ascii="Times New Roman" w:hAnsi="Times New Roman" w:cs="Times New Roman"/>
                <w:b/>
                <w:sz w:val="24"/>
                <w:szCs w:val="24"/>
                <w:vertAlign w:val="superscript"/>
                <w:lang w:val="en-US"/>
              </w:rPr>
            </w:pPr>
            <w:proofErr w:type="spellStart"/>
            <w:r>
              <w:rPr>
                <w:rFonts w:ascii="Times New Roman" w:hAnsi="Times New Roman" w:cs="Times New Roman"/>
                <w:b/>
                <w:sz w:val="24"/>
                <w:szCs w:val="24"/>
                <w:lang w:val="en-US"/>
              </w:rPr>
              <w:t>S</w:t>
            </w:r>
            <w:r>
              <w:rPr>
                <w:rFonts w:ascii="Times New Roman" w:hAnsi="Times New Roman" w:cs="Times New Roman"/>
                <w:b/>
                <w:sz w:val="24"/>
                <w:szCs w:val="24"/>
                <w:vertAlign w:val="subscript"/>
                <w:lang w:val="en-US"/>
              </w:rPr>
              <w:t>micro</w:t>
            </w:r>
            <w:r>
              <w:rPr>
                <w:rFonts w:ascii="Times New Roman" w:hAnsi="Times New Roman" w:cs="Times New Roman"/>
                <w:b/>
                <w:sz w:val="24"/>
                <w:szCs w:val="24"/>
                <w:vertAlign w:val="superscript"/>
                <w:lang w:val="en-US"/>
              </w:rPr>
              <w:t>b</w:t>
            </w:r>
            <w:proofErr w:type="spellEnd"/>
          </w:p>
          <w:p>
            <w:pPr>
              <w:spacing w:line="480" w:lineRule="auto"/>
              <w:jc w:val="center"/>
              <w:rPr>
                <w:rFonts w:ascii="Times New Roman" w:hAnsi="Times New Roman" w:cs="Times New Roman"/>
                <w:b/>
                <w:color w:val="000000"/>
                <w:sz w:val="24"/>
                <w:szCs w:val="24"/>
                <w:lang w:val="en-US" w:eastAsia="en-ZA"/>
              </w:rPr>
            </w:pPr>
            <w:r>
              <w:rPr>
                <w:rFonts w:ascii="Times New Roman" w:hAnsi="Times New Roman" w:cs="Times New Roman"/>
                <w:b/>
                <w:sz w:val="24"/>
                <w:szCs w:val="24"/>
                <w:lang w:val="en-US"/>
              </w:rPr>
              <w:t>(m</w:t>
            </w:r>
            <w:r>
              <w:rPr>
                <w:rFonts w:ascii="Times New Roman" w:hAnsi="Times New Roman" w:cs="Times New Roman"/>
                <w:b/>
                <w:sz w:val="24"/>
                <w:szCs w:val="24"/>
                <w:vertAlign w:val="superscript"/>
                <w:lang w:val="en-US"/>
              </w:rPr>
              <w:t>2</w:t>
            </w:r>
            <w:r>
              <w:rPr>
                <w:rFonts w:ascii="Times New Roman" w:hAnsi="Times New Roman" w:cs="Times New Roman"/>
                <w:b/>
                <w:sz w:val="24"/>
                <w:szCs w:val="24"/>
                <w:lang w:val="en-US"/>
              </w:rPr>
              <w:t>/g)</w:t>
            </w:r>
          </w:p>
        </w:tc>
        <w:tc>
          <w:tcPr>
            <w:tcW w:w="0" w:type="auto"/>
            <w:tcBorders>
              <w:top w:val="single" w:sz="4" w:space="0" w:color="auto"/>
            </w:tcBorders>
            <w:vAlign w:val="center"/>
          </w:tcPr>
          <w:p>
            <w:pPr>
              <w:spacing w:line="480" w:lineRule="auto"/>
              <w:jc w:val="center"/>
              <w:rPr>
                <w:rFonts w:ascii="Times New Roman" w:hAnsi="Times New Roman" w:cs="Times New Roman"/>
                <w:b/>
                <w:sz w:val="24"/>
                <w:szCs w:val="24"/>
                <w:vertAlign w:val="superscript"/>
                <w:lang w:val="en-US"/>
              </w:rPr>
            </w:pPr>
            <w:proofErr w:type="spellStart"/>
            <w:r>
              <w:rPr>
                <w:rFonts w:ascii="Times New Roman" w:hAnsi="Times New Roman" w:cs="Times New Roman"/>
                <w:b/>
                <w:sz w:val="24"/>
                <w:szCs w:val="24"/>
                <w:lang w:val="en-US"/>
              </w:rPr>
              <w:t>S</w:t>
            </w:r>
            <w:r>
              <w:rPr>
                <w:rFonts w:ascii="Times New Roman" w:hAnsi="Times New Roman" w:cs="Times New Roman"/>
                <w:b/>
                <w:sz w:val="24"/>
                <w:szCs w:val="24"/>
                <w:vertAlign w:val="subscript"/>
                <w:lang w:val="en-US"/>
              </w:rPr>
              <w:t>meso</w:t>
            </w:r>
            <w:r>
              <w:rPr>
                <w:rFonts w:ascii="Times New Roman" w:hAnsi="Times New Roman" w:cs="Times New Roman"/>
                <w:b/>
                <w:sz w:val="24"/>
                <w:szCs w:val="24"/>
                <w:vertAlign w:val="superscript"/>
                <w:lang w:val="en-US"/>
              </w:rPr>
              <w:t>b</w:t>
            </w:r>
            <w:proofErr w:type="spellEnd"/>
          </w:p>
          <w:p>
            <w:pPr>
              <w:spacing w:line="480" w:lineRule="auto"/>
              <w:jc w:val="center"/>
              <w:rPr>
                <w:rFonts w:ascii="Times New Roman" w:hAnsi="Times New Roman" w:cs="Times New Roman"/>
                <w:b/>
                <w:color w:val="000000"/>
                <w:sz w:val="24"/>
                <w:szCs w:val="24"/>
                <w:lang w:val="en-US" w:eastAsia="en-ZA"/>
              </w:rPr>
            </w:pPr>
            <w:r>
              <w:rPr>
                <w:rFonts w:ascii="Times New Roman" w:hAnsi="Times New Roman" w:cs="Times New Roman"/>
                <w:b/>
                <w:sz w:val="24"/>
                <w:szCs w:val="24"/>
                <w:lang w:val="en-US"/>
              </w:rPr>
              <w:t>(m</w:t>
            </w:r>
            <w:r>
              <w:rPr>
                <w:rFonts w:ascii="Times New Roman" w:hAnsi="Times New Roman" w:cs="Times New Roman"/>
                <w:b/>
                <w:sz w:val="24"/>
                <w:szCs w:val="24"/>
                <w:vertAlign w:val="superscript"/>
                <w:lang w:val="en-US"/>
              </w:rPr>
              <w:t>2</w:t>
            </w:r>
            <w:r>
              <w:rPr>
                <w:rFonts w:ascii="Times New Roman" w:hAnsi="Times New Roman" w:cs="Times New Roman"/>
                <w:b/>
                <w:sz w:val="24"/>
                <w:szCs w:val="24"/>
                <w:lang w:val="en-US"/>
              </w:rPr>
              <w:t>/g)</w:t>
            </w:r>
          </w:p>
        </w:tc>
        <w:tc>
          <w:tcPr>
            <w:tcW w:w="0" w:type="auto"/>
            <w:tcBorders>
              <w:top w:val="single" w:sz="4" w:space="0" w:color="auto"/>
            </w:tcBorders>
            <w:vAlign w:val="center"/>
          </w:tcPr>
          <w:p>
            <w:pPr>
              <w:spacing w:line="480" w:lineRule="auto"/>
              <w:jc w:val="center"/>
              <w:rPr>
                <w:rFonts w:ascii="Times New Roman" w:hAnsi="Times New Roman" w:cs="Times New Roman"/>
                <w:b/>
                <w:sz w:val="24"/>
                <w:szCs w:val="24"/>
                <w:vertAlign w:val="superscript"/>
                <w:lang w:val="en-US"/>
              </w:rPr>
            </w:pPr>
            <w:proofErr w:type="spellStart"/>
            <w:r>
              <w:rPr>
                <w:rFonts w:ascii="Times New Roman" w:hAnsi="Times New Roman" w:cs="Times New Roman"/>
                <w:b/>
                <w:sz w:val="24"/>
                <w:szCs w:val="24"/>
                <w:lang w:val="en-US"/>
              </w:rPr>
              <w:t>V</w:t>
            </w:r>
            <w:r>
              <w:rPr>
                <w:rFonts w:ascii="Times New Roman" w:hAnsi="Times New Roman" w:cs="Times New Roman"/>
                <w:b/>
                <w:sz w:val="24"/>
                <w:szCs w:val="24"/>
                <w:vertAlign w:val="subscript"/>
                <w:lang w:val="en-US"/>
              </w:rPr>
              <w:t>micro</w:t>
            </w:r>
            <w:r>
              <w:rPr>
                <w:rFonts w:ascii="Times New Roman" w:hAnsi="Times New Roman" w:cs="Times New Roman"/>
                <w:b/>
                <w:sz w:val="24"/>
                <w:szCs w:val="24"/>
                <w:vertAlign w:val="superscript"/>
                <w:lang w:val="en-US"/>
              </w:rPr>
              <w:t>c</w:t>
            </w:r>
            <w:proofErr w:type="spellEnd"/>
          </w:p>
          <w:p>
            <w:pPr>
              <w:spacing w:line="480" w:lineRule="auto"/>
              <w:jc w:val="center"/>
              <w:rPr>
                <w:rFonts w:ascii="Times New Roman" w:hAnsi="Times New Roman" w:cs="Times New Roman"/>
                <w:b/>
                <w:color w:val="000000"/>
                <w:sz w:val="24"/>
                <w:szCs w:val="24"/>
                <w:lang w:val="en-US" w:eastAsia="en-ZA"/>
              </w:rPr>
            </w:pPr>
            <w:r>
              <w:rPr>
                <w:rFonts w:ascii="Times New Roman" w:hAnsi="Times New Roman" w:cs="Times New Roman"/>
                <w:b/>
                <w:sz w:val="24"/>
                <w:szCs w:val="24"/>
                <w:lang w:val="en-US"/>
              </w:rPr>
              <w:t>(cm</w:t>
            </w:r>
            <w:r>
              <w:rPr>
                <w:rFonts w:ascii="Times New Roman" w:hAnsi="Times New Roman" w:cs="Times New Roman"/>
                <w:b/>
                <w:sz w:val="24"/>
                <w:szCs w:val="24"/>
                <w:vertAlign w:val="superscript"/>
                <w:lang w:val="en-US"/>
              </w:rPr>
              <w:t>3</w:t>
            </w:r>
            <w:r>
              <w:rPr>
                <w:rFonts w:ascii="Times New Roman" w:hAnsi="Times New Roman" w:cs="Times New Roman"/>
                <w:b/>
                <w:sz w:val="24"/>
                <w:szCs w:val="24"/>
                <w:lang w:val="en-US"/>
              </w:rPr>
              <w:t>/g)</w:t>
            </w:r>
          </w:p>
        </w:tc>
        <w:tc>
          <w:tcPr>
            <w:tcW w:w="0" w:type="auto"/>
            <w:tcBorders>
              <w:top w:val="single" w:sz="4" w:space="0" w:color="auto"/>
            </w:tcBorders>
            <w:vAlign w:val="center"/>
          </w:tcPr>
          <w:p>
            <w:pPr>
              <w:spacing w:line="480" w:lineRule="auto"/>
              <w:jc w:val="center"/>
              <w:rPr>
                <w:rFonts w:ascii="Times New Roman" w:hAnsi="Times New Roman" w:cs="Times New Roman"/>
                <w:b/>
                <w:sz w:val="24"/>
                <w:szCs w:val="24"/>
                <w:vertAlign w:val="superscript"/>
                <w:lang w:val="en-US"/>
              </w:rPr>
            </w:pPr>
            <w:proofErr w:type="spellStart"/>
            <w:r>
              <w:rPr>
                <w:rFonts w:ascii="Times New Roman" w:hAnsi="Times New Roman" w:cs="Times New Roman"/>
                <w:b/>
                <w:sz w:val="24"/>
                <w:szCs w:val="24"/>
                <w:lang w:val="en-US"/>
              </w:rPr>
              <w:t>V</w:t>
            </w:r>
            <w:r>
              <w:rPr>
                <w:rFonts w:ascii="Times New Roman" w:hAnsi="Times New Roman" w:cs="Times New Roman"/>
                <w:b/>
                <w:sz w:val="24"/>
                <w:szCs w:val="24"/>
                <w:vertAlign w:val="subscript"/>
                <w:lang w:val="en-US"/>
              </w:rPr>
              <w:t>total</w:t>
            </w:r>
            <w:r>
              <w:rPr>
                <w:rFonts w:ascii="Times New Roman" w:hAnsi="Times New Roman" w:cs="Times New Roman"/>
                <w:b/>
                <w:sz w:val="24"/>
                <w:szCs w:val="24"/>
                <w:vertAlign w:val="superscript"/>
                <w:lang w:val="en-US"/>
              </w:rPr>
              <w:t>c</w:t>
            </w:r>
            <w:proofErr w:type="spellEnd"/>
          </w:p>
          <w:p>
            <w:pPr>
              <w:spacing w:line="480" w:lineRule="auto"/>
              <w:jc w:val="center"/>
              <w:rPr>
                <w:rFonts w:ascii="Times New Roman" w:hAnsi="Times New Roman" w:cs="Times New Roman"/>
                <w:b/>
                <w:color w:val="000000"/>
                <w:sz w:val="24"/>
                <w:szCs w:val="24"/>
                <w:lang w:val="en-US" w:eastAsia="en-ZA"/>
              </w:rPr>
            </w:pPr>
            <w:r>
              <w:rPr>
                <w:rFonts w:ascii="Times New Roman" w:hAnsi="Times New Roman" w:cs="Times New Roman"/>
                <w:b/>
                <w:sz w:val="24"/>
                <w:szCs w:val="24"/>
                <w:lang w:val="en-US"/>
              </w:rPr>
              <w:t>(cm</w:t>
            </w:r>
            <w:r>
              <w:rPr>
                <w:rFonts w:ascii="Times New Roman" w:hAnsi="Times New Roman" w:cs="Times New Roman"/>
                <w:b/>
                <w:sz w:val="24"/>
                <w:szCs w:val="24"/>
                <w:vertAlign w:val="superscript"/>
                <w:lang w:val="en-US"/>
              </w:rPr>
              <w:t>3</w:t>
            </w:r>
            <w:r>
              <w:rPr>
                <w:rFonts w:ascii="Times New Roman" w:hAnsi="Times New Roman" w:cs="Times New Roman"/>
                <w:b/>
                <w:sz w:val="24"/>
                <w:szCs w:val="24"/>
                <w:lang w:val="en-US"/>
              </w:rPr>
              <w:t>/g)</w:t>
            </w:r>
          </w:p>
        </w:tc>
        <w:tc>
          <w:tcPr>
            <w:tcW w:w="0" w:type="auto"/>
            <w:tcBorders>
              <w:top w:val="single" w:sz="4" w:space="0" w:color="auto"/>
            </w:tcBorders>
            <w:vAlign w:val="center"/>
          </w:tcPr>
          <w:p>
            <w:pPr>
              <w:spacing w:line="480" w:lineRule="auto"/>
              <w:jc w:val="center"/>
              <w:rPr>
                <w:rFonts w:ascii="Times New Roman" w:hAnsi="Times New Roman" w:cs="Times New Roman"/>
                <w:b/>
                <w:sz w:val="24"/>
                <w:szCs w:val="24"/>
                <w:vertAlign w:val="superscript"/>
                <w:lang w:val="en-US"/>
              </w:rPr>
            </w:pPr>
            <w:proofErr w:type="spellStart"/>
            <w:r>
              <w:rPr>
                <w:rFonts w:ascii="Times New Roman" w:hAnsi="Times New Roman" w:cs="Times New Roman"/>
                <w:b/>
                <w:sz w:val="24"/>
                <w:szCs w:val="24"/>
                <w:lang w:val="en-US"/>
              </w:rPr>
              <w:t>V</w:t>
            </w:r>
            <w:r>
              <w:rPr>
                <w:rFonts w:ascii="Times New Roman" w:hAnsi="Times New Roman" w:cs="Times New Roman"/>
                <w:b/>
                <w:sz w:val="24"/>
                <w:szCs w:val="24"/>
                <w:vertAlign w:val="subscript"/>
                <w:lang w:val="en-US"/>
              </w:rPr>
              <w:t>meso</w:t>
            </w:r>
            <w:r>
              <w:rPr>
                <w:rFonts w:ascii="Times New Roman" w:hAnsi="Times New Roman" w:cs="Times New Roman"/>
                <w:b/>
                <w:sz w:val="24"/>
                <w:szCs w:val="24"/>
                <w:vertAlign w:val="superscript"/>
                <w:lang w:val="en-US"/>
              </w:rPr>
              <w:t>c</w:t>
            </w:r>
            <w:proofErr w:type="spellEnd"/>
          </w:p>
          <w:p>
            <w:pPr>
              <w:spacing w:line="480" w:lineRule="auto"/>
              <w:jc w:val="center"/>
              <w:rPr>
                <w:rFonts w:ascii="Times New Roman" w:hAnsi="Times New Roman" w:cs="Times New Roman"/>
                <w:b/>
                <w:color w:val="000000"/>
                <w:sz w:val="24"/>
                <w:szCs w:val="24"/>
                <w:lang w:val="en-US"/>
              </w:rPr>
            </w:pPr>
            <w:r>
              <w:rPr>
                <w:rFonts w:ascii="Times New Roman" w:hAnsi="Times New Roman" w:cs="Times New Roman"/>
                <w:b/>
                <w:sz w:val="24"/>
                <w:szCs w:val="24"/>
                <w:lang w:val="en-US"/>
              </w:rPr>
              <w:t>(cm</w:t>
            </w:r>
            <w:r>
              <w:rPr>
                <w:rFonts w:ascii="Times New Roman" w:hAnsi="Times New Roman" w:cs="Times New Roman"/>
                <w:b/>
                <w:sz w:val="24"/>
                <w:szCs w:val="24"/>
                <w:vertAlign w:val="superscript"/>
                <w:lang w:val="en-US"/>
              </w:rPr>
              <w:t>3</w:t>
            </w:r>
            <w:r>
              <w:rPr>
                <w:rFonts w:ascii="Times New Roman" w:hAnsi="Times New Roman" w:cs="Times New Roman"/>
                <w:b/>
                <w:sz w:val="24"/>
                <w:szCs w:val="24"/>
                <w:lang w:val="en-US"/>
              </w:rPr>
              <w:t>/g)</w:t>
            </w:r>
          </w:p>
        </w:tc>
        <w:tc>
          <w:tcPr>
            <w:tcW w:w="0" w:type="auto"/>
            <w:tcBorders>
              <w:top w:val="single" w:sz="4" w:space="0" w:color="auto"/>
            </w:tcBorders>
            <w:vAlign w:val="center"/>
          </w:tcPr>
          <w:p>
            <w:pPr>
              <w:spacing w:line="480" w:lineRule="auto"/>
              <w:jc w:val="center"/>
              <w:rPr>
                <w:rFonts w:ascii="Times New Roman" w:hAnsi="Times New Roman" w:cs="Times New Roman"/>
                <w:b/>
                <w:color w:val="000000"/>
                <w:sz w:val="24"/>
                <w:szCs w:val="24"/>
                <w:lang w:val="en-US"/>
              </w:rPr>
            </w:pPr>
            <w:proofErr w:type="spellStart"/>
            <w:r>
              <w:rPr>
                <w:rFonts w:ascii="Times New Roman" w:hAnsi="Times New Roman" w:cs="Times New Roman"/>
                <w:b/>
                <w:color w:val="000000"/>
                <w:sz w:val="24"/>
                <w:szCs w:val="24"/>
                <w:lang w:val="en-US"/>
              </w:rPr>
              <w:t>PD</w:t>
            </w:r>
            <w:r>
              <w:rPr>
                <w:rFonts w:ascii="Times New Roman" w:hAnsi="Times New Roman" w:cs="Times New Roman"/>
                <w:b/>
                <w:color w:val="000000"/>
                <w:sz w:val="24"/>
                <w:szCs w:val="24"/>
                <w:vertAlign w:val="superscript"/>
                <w:lang w:val="en-US"/>
              </w:rPr>
              <w:t>d</w:t>
            </w:r>
            <w:proofErr w:type="spellEnd"/>
          </w:p>
          <w:p>
            <w:pPr>
              <w:spacing w:line="480" w:lineRule="auto"/>
              <w:jc w:val="center"/>
              <w:rPr>
                <w:rFonts w:ascii="Times New Roman" w:hAnsi="Times New Roman" w:cs="Times New Roman"/>
                <w:b/>
                <w:color w:val="000000"/>
                <w:sz w:val="24"/>
                <w:szCs w:val="24"/>
                <w:lang w:val="en-US"/>
              </w:rPr>
            </w:pPr>
            <w:r>
              <w:rPr>
                <w:rFonts w:ascii="Times New Roman" w:hAnsi="Times New Roman" w:cs="Times New Roman"/>
                <w:b/>
                <w:color w:val="000000"/>
                <w:sz w:val="24"/>
                <w:szCs w:val="24"/>
                <w:lang w:val="en-US"/>
              </w:rPr>
              <w:t>(nm)</w:t>
            </w:r>
          </w:p>
        </w:tc>
        <w:tc>
          <w:tcPr>
            <w:tcW w:w="0" w:type="auto"/>
            <w:tcBorders>
              <w:top w:val="single" w:sz="4" w:space="0" w:color="auto"/>
            </w:tcBorders>
            <w:vAlign w:val="center"/>
          </w:tcPr>
          <w:p>
            <w:pPr>
              <w:spacing w:line="480" w:lineRule="auto"/>
              <w:jc w:val="center"/>
              <w:rPr>
                <w:rFonts w:ascii="Times New Roman" w:hAnsi="Times New Roman" w:cs="Times New Roman"/>
                <w:b/>
                <w:color w:val="000000"/>
                <w:sz w:val="24"/>
                <w:szCs w:val="24"/>
                <w:lang w:val="en-US"/>
              </w:rPr>
            </w:pPr>
            <w:r>
              <w:rPr>
                <w:rFonts w:ascii="Times New Roman" w:hAnsi="Times New Roman" w:cs="Times New Roman"/>
                <w:b/>
                <w:color w:val="000000"/>
                <w:sz w:val="24"/>
                <w:szCs w:val="24"/>
                <w:lang w:val="en-US"/>
              </w:rPr>
              <w:t xml:space="preserve">Average crystallite </w:t>
            </w:r>
            <w:proofErr w:type="spellStart"/>
            <w:r>
              <w:rPr>
                <w:rFonts w:ascii="Times New Roman" w:hAnsi="Times New Roman" w:cs="Times New Roman"/>
                <w:b/>
                <w:color w:val="000000"/>
                <w:sz w:val="24"/>
                <w:szCs w:val="24"/>
                <w:lang w:val="en-US"/>
              </w:rPr>
              <w:t>size</w:t>
            </w:r>
            <w:r>
              <w:rPr>
                <w:rFonts w:ascii="Times New Roman" w:hAnsi="Times New Roman" w:cs="Times New Roman"/>
                <w:b/>
                <w:color w:val="000000"/>
                <w:sz w:val="24"/>
                <w:szCs w:val="24"/>
                <w:vertAlign w:val="superscript"/>
                <w:lang w:val="en-US"/>
              </w:rPr>
              <w:t>e</w:t>
            </w:r>
            <w:proofErr w:type="spellEnd"/>
          </w:p>
          <w:p>
            <w:pPr>
              <w:spacing w:line="480" w:lineRule="auto"/>
              <w:jc w:val="center"/>
              <w:rPr>
                <w:rFonts w:ascii="Times New Roman" w:hAnsi="Times New Roman" w:cs="Times New Roman"/>
                <w:b/>
                <w:color w:val="000000"/>
                <w:sz w:val="24"/>
                <w:szCs w:val="24"/>
                <w:lang w:val="en-US"/>
              </w:rPr>
            </w:pPr>
            <w:r>
              <w:rPr>
                <w:rFonts w:ascii="Times New Roman" w:hAnsi="Times New Roman" w:cs="Times New Roman"/>
                <w:b/>
                <w:color w:val="000000"/>
                <w:sz w:val="24"/>
                <w:szCs w:val="24"/>
                <w:lang w:val="en-US"/>
              </w:rPr>
              <w:t>(nm)</w:t>
            </w:r>
          </w:p>
        </w:tc>
        <w:tc>
          <w:tcPr>
            <w:tcW w:w="0" w:type="auto"/>
            <w:tcBorders>
              <w:top w:val="single" w:sz="4" w:space="0" w:color="auto"/>
            </w:tcBorders>
            <w:vAlign w:val="center"/>
          </w:tcPr>
          <w:p>
            <w:pPr>
              <w:spacing w:line="480" w:lineRule="auto"/>
              <w:jc w:val="center"/>
              <w:rPr>
                <w:rFonts w:ascii="Times New Roman" w:hAnsi="Times New Roman" w:cs="Times New Roman"/>
                <w:b/>
                <w:color w:val="000000"/>
                <w:sz w:val="24"/>
                <w:szCs w:val="24"/>
              </w:rPr>
            </w:pPr>
            <w:proofErr w:type="spellStart"/>
            <w:r>
              <w:rPr>
                <w:rFonts w:ascii="Times New Roman" w:hAnsi="Times New Roman" w:cs="Times New Roman"/>
                <w:b/>
                <w:color w:val="000000"/>
                <w:sz w:val="24"/>
                <w:szCs w:val="24"/>
              </w:rPr>
              <w:t>Particle</w:t>
            </w:r>
            <w:proofErr w:type="spellEnd"/>
            <w:r>
              <w:rPr>
                <w:rFonts w:ascii="Times New Roman" w:hAnsi="Times New Roman" w:cs="Times New Roman"/>
                <w:b/>
                <w:color w:val="000000"/>
                <w:sz w:val="24"/>
                <w:szCs w:val="24"/>
              </w:rPr>
              <w:t xml:space="preserve"> </w:t>
            </w:r>
            <w:proofErr w:type="spellStart"/>
            <w:r>
              <w:rPr>
                <w:rFonts w:ascii="Times New Roman" w:hAnsi="Times New Roman" w:cs="Times New Roman"/>
                <w:b/>
                <w:color w:val="000000"/>
                <w:sz w:val="24"/>
                <w:szCs w:val="24"/>
              </w:rPr>
              <w:t>size</w:t>
            </w:r>
            <w:r>
              <w:rPr>
                <w:rFonts w:ascii="Times New Roman" w:hAnsi="Times New Roman" w:cs="Times New Roman"/>
                <w:b/>
                <w:color w:val="000000"/>
                <w:sz w:val="24"/>
                <w:szCs w:val="24"/>
                <w:vertAlign w:val="superscript"/>
              </w:rPr>
              <w:t>f</w:t>
            </w:r>
            <w:proofErr w:type="spellEnd"/>
          </w:p>
          <w:p>
            <w:pPr>
              <w:spacing w:line="480" w:lineRule="auto"/>
              <w:jc w:val="center"/>
              <w:rPr>
                <w:rFonts w:ascii="Times New Roman" w:hAnsi="Times New Roman" w:cs="Times New Roman"/>
                <w:b/>
                <w:color w:val="000000"/>
                <w:sz w:val="24"/>
                <w:szCs w:val="24"/>
                <w:lang w:val="en-US"/>
              </w:rPr>
            </w:pPr>
            <w:r>
              <w:rPr>
                <w:rFonts w:ascii="Times New Roman" w:hAnsi="Times New Roman" w:cs="Times New Roman"/>
                <w:b/>
                <w:color w:val="000000"/>
                <w:sz w:val="24"/>
                <w:szCs w:val="24"/>
              </w:rPr>
              <w:t>(</w:t>
            </w:r>
            <w:proofErr w:type="spellStart"/>
            <w:r>
              <w:rPr>
                <w:rFonts w:ascii="Times New Roman" w:hAnsi="Times New Roman" w:cs="Times New Roman"/>
                <w:b/>
                <w:color w:val="000000"/>
                <w:sz w:val="24"/>
                <w:szCs w:val="24"/>
              </w:rPr>
              <w:t>nm</w:t>
            </w:r>
            <w:proofErr w:type="spellEnd"/>
            <w:r>
              <w:rPr>
                <w:rFonts w:ascii="Times New Roman" w:hAnsi="Times New Roman" w:cs="Times New Roman"/>
                <w:b/>
                <w:color w:val="000000"/>
                <w:sz w:val="24"/>
                <w:szCs w:val="24"/>
              </w:rPr>
              <w:t>)</w:t>
            </w:r>
          </w:p>
        </w:tc>
      </w:tr>
      <w:tr>
        <w:trPr>
          <w:jc w:val="center"/>
        </w:trPr>
        <w:tc>
          <w:tcPr>
            <w:tcW w:w="0" w:type="auto"/>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H-ZSM-5</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val="en-US" w:eastAsia="en-ZA"/>
              </w:rPr>
              <w:t>30.0</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348</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230</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118</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0.12</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0.25</w:t>
            </w:r>
          </w:p>
        </w:tc>
        <w:tc>
          <w:tcPr>
            <w:tcW w:w="0" w:type="auto"/>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rPr>
              <w:t>0.13</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val="en-US" w:eastAsia="en-ZA"/>
              </w:rPr>
              <w:t>6.4</w:t>
            </w:r>
          </w:p>
        </w:tc>
        <w:tc>
          <w:tcPr>
            <w:tcW w:w="0" w:type="auto"/>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44.8</w:t>
            </w:r>
          </w:p>
        </w:tc>
        <w:tc>
          <w:tcPr>
            <w:tcW w:w="0" w:type="auto"/>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rPr>
              <w:t>174</w:t>
            </w:r>
          </w:p>
        </w:tc>
      </w:tr>
      <w:tr>
        <w:trPr>
          <w:jc w:val="center"/>
        </w:trPr>
        <w:tc>
          <w:tcPr>
            <w:tcW w:w="0" w:type="auto"/>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H-USY</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val="en-US" w:eastAsia="en-ZA"/>
              </w:rPr>
              <w:t>10.0</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667</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559</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108</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0.29</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0.46</w:t>
            </w:r>
          </w:p>
        </w:tc>
        <w:tc>
          <w:tcPr>
            <w:tcW w:w="0" w:type="auto"/>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rPr>
              <w:t>0.17</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val="en-US" w:eastAsia="en-ZA"/>
              </w:rPr>
              <w:t>8.3</w:t>
            </w:r>
          </w:p>
        </w:tc>
        <w:tc>
          <w:tcPr>
            <w:tcW w:w="0" w:type="auto"/>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54.6</w:t>
            </w:r>
          </w:p>
        </w:tc>
        <w:tc>
          <w:tcPr>
            <w:tcW w:w="0" w:type="auto"/>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rPr>
              <w:t>365</w:t>
            </w:r>
          </w:p>
        </w:tc>
      </w:tr>
      <w:tr>
        <w:trPr>
          <w:jc w:val="center"/>
        </w:trPr>
        <w:tc>
          <w:tcPr>
            <w:tcW w:w="0" w:type="auto"/>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H-Y</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val="en-US" w:eastAsia="en-ZA"/>
              </w:rPr>
              <w:t>5.1</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665</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606</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59</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0.32</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0.36</w:t>
            </w:r>
          </w:p>
        </w:tc>
        <w:tc>
          <w:tcPr>
            <w:tcW w:w="0" w:type="auto"/>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rPr>
              <w:t>0.04</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val="en-US" w:eastAsia="en-ZA"/>
              </w:rPr>
              <w:t>5.2</w:t>
            </w:r>
          </w:p>
        </w:tc>
        <w:tc>
          <w:tcPr>
            <w:tcW w:w="0" w:type="auto"/>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59.0</w:t>
            </w:r>
          </w:p>
        </w:tc>
        <w:tc>
          <w:tcPr>
            <w:tcW w:w="0" w:type="auto"/>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rPr>
              <w:t>713</w:t>
            </w:r>
          </w:p>
        </w:tc>
      </w:tr>
      <w:tr>
        <w:trPr>
          <w:jc w:val="center"/>
        </w:trPr>
        <w:tc>
          <w:tcPr>
            <w:tcW w:w="0" w:type="auto"/>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H-Mordenite</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val="en-US" w:eastAsia="en-ZA"/>
              </w:rPr>
              <w:t>15.0</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418</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381</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37</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0.20</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0.23</w:t>
            </w:r>
          </w:p>
        </w:tc>
        <w:tc>
          <w:tcPr>
            <w:tcW w:w="0" w:type="auto"/>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rPr>
              <w:t>0.03</w:t>
            </w:r>
          </w:p>
        </w:tc>
        <w:tc>
          <w:tcPr>
            <w:tcW w:w="0" w:type="auto"/>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val="en-US" w:eastAsia="en-ZA"/>
              </w:rPr>
              <w:t>4.1</w:t>
            </w:r>
          </w:p>
        </w:tc>
        <w:tc>
          <w:tcPr>
            <w:tcW w:w="0" w:type="auto"/>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63.6</w:t>
            </w:r>
          </w:p>
        </w:tc>
        <w:tc>
          <w:tcPr>
            <w:tcW w:w="0" w:type="auto"/>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rPr>
              <w:t>1011</w:t>
            </w:r>
          </w:p>
        </w:tc>
      </w:tr>
      <w:tr>
        <w:trPr>
          <w:trHeight w:val="289"/>
          <w:jc w:val="center"/>
        </w:trPr>
        <w:tc>
          <w:tcPr>
            <w:tcW w:w="0" w:type="auto"/>
            <w:tcBorders>
              <w:bottom w:val="single" w:sz="4" w:space="0" w:color="auto"/>
            </w:tcBorders>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H-Beta</w:t>
            </w:r>
          </w:p>
        </w:tc>
        <w:tc>
          <w:tcPr>
            <w:tcW w:w="0" w:type="auto"/>
            <w:tcBorders>
              <w:bottom w:val="single" w:sz="4" w:space="0" w:color="auto"/>
            </w:tcBorders>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val="en-US" w:eastAsia="en-ZA"/>
              </w:rPr>
              <w:t>28.0</w:t>
            </w:r>
          </w:p>
        </w:tc>
        <w:tc>
          <w:tcPr>
            <w:tcW w:w="0" w:type="auto"/>
            <w:tcBorders>
              <w:bottom w:val="single" w:sz="4" w:space="0" w:color="auto"/>
            </w:tcBorders>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549</w:t>
            </w:r>
          </w:p>
        </w:tc>
        <w:tc>
          <w:tcPr>
            <w:tcW w:w="0" w:type="auto"/>
            <w:tcBorders>
              <w:bottom w:val="single" w:sz="4" w:space="0" w:color="auto"/>
            </w:tcBorders>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441</w:t>
            </w:r>
          </w:p>
        </w:tc>
        <w:tc>
          <w:tcPr>
            <w:tcW w:w="0" w:type="auto"/>
            <w:tcBorders>
              <w:bottom w:val="single" w:sz="4" w:space="0" w:color="auto"/>
            </w:tcBorders>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108</w:t>
            </w:r>
          </w:p>
        </w:tc>
        <w:tc>
          <w:tcPr>
            <w:tcW w:w="0" w:type="auto"/>
            <w:tcBorders>
              <w:bottom w:val="single" w:sz="4" w:space="0" w:color="auto"/>
            </w:tcBorders>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0.23</w:t>
            </w:r>
          </w:p>
        </w:tc>
        <w:tc>
          <w:tcPr>
            <w:tcW w:w="0" w:type="auto"/>
            <w:tcBorders>
              <w:bottom w:val="single" w:sz="4" w:space="0" w:color="auto"/>
            </w:tcBorders>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eastAsia="en-ZA"/>
              </w:rPr>
              <w:t>0.32</w:t>
            </w:r>
          </w:p>
        </w:tc>
        <w:tc>
          <w:tcPr>
            <w:tcW w:w="0" w:type="auto"/>
            <w:tcBorders>
              <w:bottom w:val="single" w:sz="4" w:space="0" w:color="auto"/>
            </w:tcBorders>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rPr>
              <w:t>0.09</w:t>
            </w:r>
          </w:p>
        </w:tc>
        <w:tc>
          <w:tcPr>
            <w:tcW w:w="0" w:type="auto"/>
            <w:tcBorders>
              <w:bottom w:val="single" w:sz="4" w:space="0" w:color="auto"/>
            </w:tcBorders>
            <w:vAlign w:val="center"/>
          </w:tcPr>
          <w:p>
            <w:pPr>
              <w:spacing w:line="480" w:lineRule="auto"/>
              <w:jc w:val="center"/>
              <w:rPr>
                <w:rFonts w:ascii="Times New Roman" w:hAnsi="Times New Roman" w:cs="Times New Roman"/>
                <w:sz w:val="24"/>
                <w:szCs w:val="24"/>
                <w:lang w:val="en-US" w:eastAsia="en-ZA"/>
              </w:rPr>
            </w:pPr>
            <w:r>
              <w:rPr>
                <w:rFonts w:ascii="Times New Roman" w:hAnsi="Times New Roman" w:cs="Times New Roman"/>
                <w:sz w:val="24"/>
                <w:szCs w:val="24"/>
                <w:lang w:val="en-US" w:eastAsia="en-ZA"/>
              </w:rPr>
              <w:t>5.2</w:t>
            </w:r>
          </w:p>
        </w:tc>
        <w:tc>
          <w:tcPr>
            <w:tcW w:w="0" w:type="auto"/>
            <w:tcBorders>
              <w:bottom w:val="single" w:sz="4" w:space="0" w:color="auto"/>
            </w:tcBorders>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16.7</w:t>
            </w:r>
          </w:p>
        </w:tc>
        <w:tc>
          <w:tcPr>
            <w:tcW w:w="0" w:type="auto"/>
            <w:tcBorders>
              <w:bottom w:val="single" w:sz="4" w:space="0" w:color="auto"/>
            </w:tcBorders>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rPr>
              <w:t>379</w:t>
            </w:r>
          </w:p>
        </w:tc>
      </w:tr>
    </w:tbl>
    <w:p>
      <w:pPr>
        <w:spacing w:after="0" w:line="480" w:lineRule="auto"/>
        <w:jc w:val="both"/>
        <w:rPr>
          <w:rFonts w:ascii="Times New Roman" w:hAnsi="Times New Roman" w:cs="Times New Roman"/>
          <w:sz w:val="24"/>
          <w:szCs w:val="24"/>
        </w:rPr>
      </w:pPr>
      <w:r>
        <w:rPr>
          <w:rFonts w:ascii="Times New Roman" w:hAnsi="Times New Roman" w:cs="Times New Roman"/>
          <w:noProof/>
          <w:sz w:val="24"/>
          <w:szCs w:val="24"/>
          <w:vertAlign w:val="superscript"/>
        </w:rPr>
        <w:t>a</w:t>
      </w:r>
      <w:r>
        <w:rPr>
          <w:rFonts w:ascii="Times New Roman" w:hAnsi="Times New Roman" w:cs="Times New Roman"/>
          <w:noProof/>
          <w:sz w:val="24"/>
          <w:szCs w:val="24"/>
        </w:rPr>
        <w:t xml:space="preserve">Si and Al content according to ICP-OES. </w:t>
      </w:r>
      <w:r>
        <w:rPr>
          <w:rFonts w:ascii="Times New Roman" w:hAnsi="Times New Roman" w:cs="Times New Roman"/>
          <w:noProof/>
          <w:sz w:val="24"/>
          <w:szCs w:val="24"/>
          <w:vertAlign w:val="superscript"/>
        </w:rPr>
        <w:t>b</w:t>
      </w:r>
      <w:r>
        <w:rPr>
          <w:rFonts w:ascii="Times New Roman" w:hAnsi="Times New Roman" w:cs="Times New Roman"/>
          <w:noProof/>
          <w:sz w:val="24"/>
          <w:szCs w:val="24"/>
        </w:rPr>
        <w:t>BET</w:t>
      </w:r>
      <w:r>
        <w:rPr>
          <w:rFonts w:ascii="Times New Roman" w:hAnsi="Times New Roman" w:cs="Times New Roman"/>
          <w:sz w:val="24"/>
          <w:szCs w:val="24"/>
        </w:rPr>
        <w:t xml:space="preserve"> method. </w:t>
      </w:r>
      <w:proofErr w:type="spellStart"/>
      <w:r>
        <w:rPr>
          <w:rFonts w:ascii="Times New Roman" w:hAnsi="Times New Roman" w:cs="Times New Roman"/>
          <w:sz w:val="24"/>
          <w:szCs w:val="24"/>
          <w:vertAlign w:val="superscript"/>
        </w:rPr>
        <w:t>c</w:t>
      </w:r>
      <w:r>
        <w:rPr>
          <w:rFonts w:ascii="Times New Roman" w:hAnsi="Times New Roman" w:cs="Times New Roman"/>
          <w:sz w:val="24"/>
          <w:szCs w:val="24"/>
        </w:rPr>
        <w:t>t</w:t>
      </w:r>
      <w:proofErr w:type="spellEnd"/>
      <w:r>
        <w:rPr>
          <w:rFonts w:ascii="Times New Roman" w:hAnsi="Times New Roman" w:cs="Times New Roman"/>
          <w:sz w:val="24"/>
          <w:szCs w:val="24"/>
        </w:rPr>
        <w:t xml:space="preserve">-plot method. </w:t>
      </w:r>
      <w:proofErr w:type="spellStart"/>
      <w:r>
        <w:rPr>
          <w:rFonts w:ascii="Times New Roman" w:hAnsi="Times New Roman" w:cs="Times New Roman"/>
          <w:sz w:val="24"/>
          <w:szCs w:val="24"/>
          <w:vertAlign w:val="superscript"/>
        </w:rPr>
        <w:t>d</w:t>
      </w:r>
      <w:r>
        <w:rPr>
          <w:rFonts w:ascii="Times New Roman" w:hAnsi="Times New Roman" w:cs="Times New Roman"/>
          <w:sz w:val="24"/>
          <w:szCs w:val="24"/>
        </w:rPr>
        <w:t>Average</w:t>
      </w:r>
      <w:proofErr w:type="spellEnd"/>
      <w:r>
        <w:rPr>
          <w:rFonts w:ascii="Times New Roman" w:hAnsi="Times New Roman" w:cs="Times New Roman"/>
          <w:sz w:val="24"/>
          <w:szCs w:val="24"/>
        </w:rPr>
        <w:t xml:space="preserve"> pore diameter measured from the desorption branch according to the BJH method. </w:t>
      </w:r>
      <w:proofErr w:type="spellStart"/>
      <w:r>
        <w:rPr>
          <w:rFonts w:ascii="Times New Roman" w:hAnsi="Times New Roman" w:cs="Times New Roman"/>
          <w:sz w:val="24"/>
          <w:szCs w:val="24"/>
          <w:vertAlign w:val="superscript"/>
        </w:rPr>
        <w:t>e</w:t>
      </w:r>
      <w:r>
        <w:rPr>
          <w:rFonts w:ascii="Times New Roman" w:hAnsi="Times New Roman" w:cs="Times New Roman"/>
          <w:sz w:val="24"/>
          <w:szCs w:val="24"/>
        </w:rPr>
        <w:t>The</w:t>
      </w:r>
      <w:proofErr w:type="spellEnd"/>
      <w:r>
        <w:rPr>
          <w:rFonts w:ascii="Times New Roman" w:hAnsi="Times New Roman" w:cs="Times New Roman"/>
          <w:sz w:val="24"/>
          <w:szCs w:val="24"/>
        </w:rPr>
        <w:t xml:space="preserve"> crystallite size was calculated from XRD data using at least the 5 most intense peaks; </w:t>
      </w:r>
      <w:proofErr w:type="spellStart"/>
      <w:r>
        <w:rPr>
          <w:rFonts w:ascii="Times New Roman" w:hAnsi="Times New Roman" w:cs="Times New Roman"/>
          <w:sz w:val="24"/>
          <w:szCs w:val="24"/>
          <w:vertAlign w:val="superscript"/>
        </w:rPr>
        <w:t>f</w:t>
      </w:r>
      <w:r>
        <w:rPr>
          <w:rFonts w:ascii="Times New Roman" w:hAnsi="Times New Roman" w:cs="Times New Roman"/>
          <w:sz w:val="24"/>
          <w:szCs w:val="24"/>
        </w:rPr>
        <w:t>Particle</w:t>
      </w:r>
      <w:proofErr w:type="spellEnd"/>
      <w:r>
        <w:rPr>
          <w:rFonts w:ascii="Times New Roman" w:hAnsi="Times New Roman" w:cs="Times New Roman"/>
          <w:sz w:val="24"/>
          <w:szCs w:val="24"/>
        </w:rPr>
        <w:t xml:space="preserve"> size according to HRSEM.</w:t>
      </w:r>
    </w:p>
    <w:p>
      <w:pPr>
        <w:spacing w:after="0" w:line="360" w:lineRule="auto"/>
        <w:jc w:val="both"/>
        <w:rPr>
          <w:rFonts w:ascii="Times New Roman" w:hAnsi="Times New Roman" w:cs="Times New Roman"/>
          <w:sz w:val="24"/>
          <w:szCs w:val="24"/>
        </w:rPr>
      </w:pPr>
    </w:p>
    <w:p>
      <w:pPr>
        <w:rPr>
          <w:rFonts w:ascii="Times New Roman" w:hAnsi="Times New Roman" w:cs="Times New Roman"/>
          <w:sz w:val="24"/>
          <w:szCs w:val="24"/>
          <w:lang w:val="en-GB"/>
        </w:rPr>
      </w:pPr>
      <w:r>
        <w:rPr>
          <w:rFonts w:ascii="Times New Roman" w:hAnsi="Times New Roman" w:cs="Times New Roman"/>
          <w:sz w:val="24"/>
          <w:szCs w:val="24"/>
          <w:lang w:val="en-GB"/>
        </w:rPr>
        <w:br w:type="page"/>
      </w:r>
    </w:p>
    <w:p>
      <w:pPr>
        <w:pStyle w:val="NoSpacing"/>
        <w:spacing w:line="480" w:lineRule="auto"/>
        <w:rPr>
          <w:rFonts w:ascii="Times New Roman" w:hAnsi="Times New Roman" w:cs="Times New Roman"/>
          <w:b/>
          <w:sz w:val="24"/>
          <w:szCs w:val="24"/>
          <w:lang w:val="en-GB" w:eastAsia="zh-CN"/>
        </w:rPr>
      </w:pPr>
      <w:r>
        <w:rPr>
          <w:rFonts w:ascii="Times New Roman" w:hAnsi="Times New Roman" w:cs="Times New Roman"/>
          <w:b/>
          <w:sz w:val="24"/>
          <w:szCs w:val="24"/>
          <w:lang w:val="en-GB" w:eastAsia="zh-CN"/>
        </w:rPr>
        <w:lastRenderedPageBreak/>
        <w:t>Table S3</w:t>
      </w:r>
    </w:p>
    <w:p>
      <w:pPr>
        <w:pStyle w:val="NoSpacing"/>
        <w:spacing w:line="480" w:lineRule="auto"/>
        <w:rPr>
          <w:rFonts w:ascii="Times New Roman" w:hAnsi="Times New Roman" w:cs="Times New Roman"/>
          <w:sz w:val="24"/>
          <w:szCs w:val="24"/>
          <w:lang w:val="en-GB" w:eastAsia="zh-CN"/>
        </w:rPr>
      </w:pPr>
      <w:r>
        <w:rPr>
          <w:rFonts w:ascii="Times New Roman" w:hAnsi="Times New Roman" w:cs="Times New Roman"/>
          <w:sz w:val="24"/>
          <w:szCs w:val="24"/>
          <w:lang w:val="en-GB" w:eastAsia="zh-CN"/>
        </w:rPr>
        <w:t>Acid properties of the different zeolite catalysts.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3"/>
        <w:gridCol w:w="1802"/>
        <w:gridCol w:w="1928"/>
        <w:gridCol w:w="2149"/>
        <w:gridCol w:w="1070"/>
        <w:gridCol w:w="1070"/>
        <w:gridCol w:w="2698"/>
      </w:tblGrid>
      <w:tr>
        <w:trPr>
          <w:trHeight w:val="368"/>
        </w:trPr>
        <w:tc>
          <w:tcPr>
            <w:tcW w:w="865" w:type="pct"/>
            <w:vMerge w:val="restart"/>
            <w:tcBorders>
              <w:top w:val="single" w:sz="4" w:space="0" w:color="auto"/>
            </w:tcBorders>
            <w:vAlign w:val="center"/>
          </w:tcPr>
          <w:p>
            <w:pPr>
              <w:spacing w:line="480" w:lineRule="auto"/>
              <w:jc w:val="center"/>
              <w:rPr>
                <w:rFonts w:ascii="Times New Roman" w:hAnsi="Times New Roman" w:cs="Times New Roman"/>
                <w:b/>
                <w:color w:val="000000"/>
                <w:sz w:val="24"/>
                <w:szCs w:val="24"/>
                <w:lang w:val="en-US" w:eastAsia="en-ZA"/>
              </w:rPr>
            </w:pPr>
            <w:r>
              <w:rPr>
                <w:rFonts w:ascii="Times New Roman" w:hAnsi="Times New Roman" w:cs="Times New Roman"/>
                <w:b/>
                <w:color w:val="000000"/>
                <w:sz w:val="24"/>
                <w:szCs w:val="24"/>
                <w:lang w:val="en-US" w:eastAsia="en-ZA"/>
              </w:rPr>
              <w:t>Catalyst</w:t>
            </w:r>
          </w:p>
        </w:tc>
        <w:tc>
          <w:tcPr>
            <w:tcW w:w="2268" w:type="pct"/>
            <w:gridSpan w:val="3"/>
            <w:tcBorders>
              <w:top w:val="single" w:sz="4" w:space="0" w:color="auto"/>
            </w:tcBorders>
            <w:vAlign w:val="center"/>
          </w:tcPr>
          <w:p>
            <w:pPr>
              <w:spacing w:line="480" w:lineRule="auto"/>
              <w:jc w:val="center"/>
              <w:rPr>
                <w:rFonts w:ascii="Times New Roman" w:hAnsi="Times New Roman" w:cs="Times New Roman"/>
                <w:b/>
                <w:sz w:val="24"/>
                <w:szCs w:val="24"/>
                <w:lang w:val="en-US"/>
              </w:rPr>
            </w:pPr>
            <w:r>
              <w:rPr>
                <w:rFonts w:ascii="Times New Roman" w:hAnsi="Times New Roman" w:cs="Times New Roman"/>
                <w:b/>
                <w:color w:val="000000"/>
                <w:sz w:val="24"/>
                <w:szCs w:val="24"/>
                <w:lang w:val="en-US" w:eastAsia="en-ZA"/>
              </w:rPr>
              <w:t>Acidity by NH</w:t>
            </w:r>
            <w:r>
              <w:rPr>
                <w:rFonts w:ascii="Times New Roman" w:hAnsi="Times New Roman" w:cs="Times New Roman"/>
                <w:b/>
                <w:color w:val="000000"/>
                <w:sz w:val="24"/>
                <w:szCs w:val="24"/>
                <w:vertAlign w:val="subscript"/>
                <w:lang w:val="en-US" w:eastAsia="en-ZA"/>
              </w:rPr>
              <w:t>3</w:t>
            </w:r>
            <w:r>
              <w:rPr>
                <w:rFonts w:ascii="Times New Roman" w:hAnsi="Times New Roman" w:cs="Times New Roman"/>
                <w:b/>
                <w:color w:val="000000"/>
                <w:sz w:val="24"/>
                <w:szCs w:val="24"/>
                <w:lang w:val="en-US" w:eastAsia="en-ZA"/>
              </w:rPr>
              <w:t>-TPD (mmol</w:t>
            </w:r>
            <w:r>
              <w:rPr>
                <w:rFonts w:ascii="Times New Roman" w:hAnsi="Times New Roman" w:cs="Times New Roman"/>
                <w:b/>
                <w:color w:val="000000"/>
                <w:sz w:val="24"/>
                <w:szCs w:val="24"/>
                <w:vertAlign w:val="subscript"/>
                <w:lang w:val="en-US" w:eastAsia="en-ZA"/>
              </w:rPr>
              <w:t>NH3</w:t>
            </w:r>
            <w:r>
              <w:rPr>
                <w:rFonts w:ascii="Times New Roman" w:hAnsi="Times New Roman" w:cs="Times New Roman"/>
                <w:b/>
                <w:color w:val="000000"/>
                <w:sz w:val="24"/>
                <w:szCs w:val="24"/>
                <w:lang w:val="en-US" w:eastAsia="en-ZA"/>
              </w:rPr>
              <w:t>/</w:t>
            </w:r>
            <w:proofErr w:type="spellStart"/>
            <w:r>
              <w:rPr>
                <w:rFonts w:ascii="Times New Roman" w:hAnsi="Times New Roman" w:cs="Times New Roman"/>
                <w:b/>
                <w:color w:val="000000"/>
                <w:sz w:val="24"/>
                <w:szCs w:val="24"/>
                <w:lang w:val="en-US" w:eastAsia="en-ZA"/>
              </w:rPr>
              <w:t>g</w:t>
            </w:r>
            <w:r>
              <w:rPr>
                <w:rFonts w:ascii="Times New Roman" w:hAnsi="Times New Roman" w:cs="Times New Roman"/>
                <w:b/>
                <w:color w:val="000000"/>
                <w:sz w:val="24"/>
                <w:szCs w:val="24"/>
                <w:vertAlign w:val="subscript"/>
                <w:lang w:val="en-US" w:eastAsia="en-ZA"/>
              </w:rPr>
              <w:t>cat</w:t>
            </w:r>
            <w:proofErr w:type="spellEnd"/>
            <w:r>
              <w:rPr>
                <w:rFonts w:ascii="Times New Roman" w:hAnsi="Times New Roman" w:cs="Times New Roman"/>
                <w:b/>
                <w:color w:val="000000"/>
                <w:sz w:val="24"/>
                <w:szCs w:val="24"/>
                <w:lang w:val="en-US" w:eastAsia="en-ZA"/>
              </w:rPr>
              <w:t>)</w:t>
            </w:r>
          </w:p>
        </w:tc>
        <w:tc>
          <w:tcPr>
            <w:tcW w:w="1867" w:type="pct"/>
            <w:gridSpan w:val="3"/>
            <w:tcBorders>
              <w:top w:val="single" w:sz="4" w:space="0" w:color="auto"/>
            </w:tcBorders>
            <w:vAlign w:val="center"/>
          </w:tcPr>
          <w:p>
            <w:pPr>
              <w:spacing w:line="48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 xml:space="preserve">Acidity by </w:t>
            </w:r>
            <w:proofErr w:type="spellStart"/>
            <w:r>
              <w:rPr>
                <w:rFonts w:ascii="Times New Roman" w:hAnsi="Times New Roman" w:cs="Times New Roman"/>
                <w:b/>
                <w:sz w:val="24"/>
                <w:szCs w:val="24"/>
                <w:lang w:val="en-US"/>
              </w:rPr>
              <w:t>Pyr</w:t>
            </w:r>
            <w:proofErr w:type="spellEnd"/>
            <w:r>
              <w:rPr>
                <w:rFonts w:ascii="Times New Roman" w:hAnsi="Times New Roman" w:cs="Times New Roman"/>
                <w:b/>
                <w:sz w:val="24"/>
                <w:szCs w:val="24"/>
                <w:lang w:val="en-US"/>
              </w:rPr>
              <w:t>-DRIFTS (</w:t>
            </w:r>
            <w:r>
              <w:rPr>
                <w:rFonts w:ascii="Times New Roman" w:hAnsi="Times New Roman" w:cs="Times New Roman"/>
                <w:b/>
                <w:color w:val="000000"/>
                <w:sz w:val="24"/>
                <w:szCs w:val="24"/>
                <w:lang w:val="en-US" w:eastAsia="en-ZA"/>
              </w:rPr>
              <w:t>%</w:t>
            </w:r>
            <w:r>
              <w:rPr>
                <w:rFonts w:ascii="Times New Roman" w:hAnsi="Times New Roman" w:cs="Times New Roman"/>
                <w:b/>
                <w:sz w:val="24"/>
                <w:szCs w:val="24"/>
                <w:lang w:val="en-US"/>
              </w:rPr>
              <w:t>)</w:t>
            </w:r>
          </w:p>
        </w:tc>
      </w:tr>
      <w:tr>
        <w:trPr>
          <w:trHeight w:val="60"/>
        </w:trPr>
        <w:tc>
          <w:tcPr>
            <w:tcW w:w="865" w:type="pct"/>
            <w:vMerge/>
            <w:vAlign w:val="center"/>
          </w:tcPr>
          <w:p>
            <w:pPr>
              <w:spacing w:line="480" w:lineRule="auto"/>
              <w:jc w:val="center"/>
              <w:rPr>
                <w:rFonts w:ascii="Times New Roman" w:hAnsi="Times New Roman" w:cs="Times New Roman"/>
                <w:b/>
                <w:color w:val="000000"/>
                <w:sz w:val="24"/>
                <w:szCs w:val="24"/>
                <w:lang w:val="en-US" w:eastAsia="en-ZA"/>
              </w:rPr>
            </w:pPr>
          </w:p>
        </w:tc>
        <w:tc>
          <w:tcPr>
            <w:tcW w:w="695" w:type="pct"/>
            <w:vAlign w:val="center"/>
          </w:tcPr>
          <w:p>
            <w:pPr>
              <w:spacing w:line="480" w:lineRule="auto"/>
              <w:jc w:val="center"/>
              <w:rPr>
                <w:rFonts w:ascii="Times New Roman" w:hAnsi="Times New Roman" w:cs="Times New Roman"/>
                <w:b/>
                <w:color w:val="000000"/>
                <w:sz w:val="24"/>
                <w:szCs w:val="24"/>
                <w:lang w:val="en-US" w:eastAsia="en-ZA"/>
              </w:rPr>
            </w:pPr>
            <w:r>
              <w:rPr>
                <w:rFonts w:ascii="Times New Roman" w:hAnsi="Times New Roman" w:cs="Times New Roman"/>
                <w:b/>
                <w:color w:val="000000"/>
                <w:sz w:val="24"/>
                <w:szCs w:val="24"/>
                <w:lang w:val="en-US" w:eastAsia="en-ZA"/>
              </w:rPr>
              <w:t>Total</w:t>
            </w:r>
          </w:p>
        </w:tc>
        <w:tc>
          <w:tcPr>
            <w:tcW w:w="744" w:type="pct"/>
            <w:vAlign w:val="center"/>
          </w:tcPr>
          <w:p>
            <w:pPr>
              <w:spacing w:line="480" w:lineRule="auto"/>
              <w:jc w:val="center"/>
              <w:rPr>
                <w:rFonts w:ascii="Times New Roman" w:hAnsi="Times New Roman" w:cs="Times New Roman"/>
                <w:b/>
                <w:color w:val="000000"/>
                <w:sz w:val="24"/>
                <w:szCs w:val="24"/>
                <w:lang w:val="en-US" w:eastAsia="en-ZA"/>
              </w:rPr>
            </w:pPr>
            <w:r>
              <w:rPr>
                <w:rFonts w:ascii="Times New Roman" w:hAnsi="Times New Roman" w:cs="Times New Roman"/>
                <w:b/>
                <w:color w:val="000000"/>
                <w:sz w:val="24"/>
                <w:szCs w:val="24"/>
                <w:lang w:val="en-US" w:eastAsia="en-ZA"/>
              </w:rPr>
              <w:t>Weak</w:t>
            </w:r>
          </w:p>
        </w:tc>
        <w:tc>
          <w:tcPr>
            <w:tcW w:w="829" w:type="pct"/>
            <w:vAlign w:val="center"/>
          </w:tcPr>
          <w:p>
            <w:pPr>
              <w:spacing w:line="480" w:lineRule="auto"/>
              <w:jc w:val="center"/>
              <w:rPr>
                <w:rFonts w:ascii="Times New Roman" w:hAnsi="Times New Roman" w:cs="Times New Roman"/>
                <w:b/>
                <w:color w:val="000000"/>
                <w:sz w:val="24"/>
                <w:szCs w:val="24"/>
                <w:lang w:val="en-US" w:eastAsia="en-ZA"/>
              </w:rPr>
            </w:pPr>
            <w:r>
              <w:rPr>
                <w:rFonts w:ascii="Times New Roman" w:hAnsi="Times New Roman" w:cs="Times New Roman"/>
                <w:b/>
                <w:color w:val="000000"/>
                <w:sz w:val="24"/>
                <w:szCs w:val="24"/>
                <w:lang w:val="en-US" w:eastAsia="en-ZA"/>
              </w:rPr>
              <w:t>Strong</w:t>
            </w:r>
          </w:p>
        </w:tc>
        <w:tc>
          <w:tcPr>
            <w:tcW w:w="413" w:type="pct"/>
            <w:vAlign w:val="center"/>
          </w:tcPr>
          <w:p>
            <w:pPr>
              <w:spacing w:line="48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C</w:t>
            </w:r>
            <w:r>
              <w:rPr>
                <w:rFonts w:ascii="Times New Roman" w:hAnsi="Times New Roman" w:cs="Times New Roman"/>
                <w:b/>
                <w:sz w:val="24"/>
                <w:szCs w:val="24"/>
                <w:vertAlign w:val="subscript"/>
                <w:lang w:val="en-US"/>
              </w:rPr>
              <w:t>BAS</w:t>
            </w:r>
          </w:p>
        </w:tc>
        <w:tc>
          <w:tcPr>
            <w:tcW w:w="413" w:type="pct"/>
            <w:vAlign w:val="center"/>
          </w:tcPr>
          <w:p>
            <w:pPr>
              <w:spacing w:line="480" w:lineRule="auto"/>
              <w:jc w:val="center"/>
              <w:rPr>
                <w:rFonts w:ascii="Times New Roman" w:hAnsi="Times New Roman" w:cs="Times New Roman"/>
                <w:b/>
                <w:color w:val="000000"/>
                <w:sz w:val="24"/>
                <w:szCs w:val="24"/>
                <w:lang w:val="en-US" w:eastAsia="en-ZA"/>
              </w:rPr>
            </w:pPr>
            <w:r>
              <w:rPr>
                <w:rFonts w:ascii="Times New Roman" w:hAnsi="Times New Roman" w:cs="Times New Roman"/>
                <w:b/>
                <w:sz w:val="24"/>
                <w:szCs w:val="24"/>
                <w:lang w:val="en-US"/>
              </w:rPr>
              <w:t>C</w:t>
            </w:r>
            <w:r>
              <w:rPr>
                <w:rFonts w:ascii="Times New Roman" w:hAnsi="Times New Roman" w:cs="Times New Roman"/>
                <w:b/>
                <w:sz w:val="24"/>
                <w:szCs w:val="24"/>
                <w:vertAlign w:val="subscript"/>
                <w:lang w:val="en-US"/>
              </w:rPr>
              <w:t>LAS</w:t>
            </w:r>
          </w:p>
        </w:tc>
        <w:tc>
          <w:tcPr>
            <w:tcW w:w="1042" w:type="pct"/>
            <w:vAlign w:val="center"/>
          </w:tcPr>
          <w:p>
            <w:pPr>
              <w:spacing w:line="480" w:lineRule="auto"/>
              <w:jc w:val="center"/>
              <w:rPr>
                <w:rFonts w:ascii="Times New Roman" w:hAnsi="Times New Roman" w:cs="Times New Roman"/>
                <w:b/>
                <w:color w:val="000000"/>
                <w:sz w:val="24"/>
                <w:szCs w:val="24"/>
                <w:lang w:val="en-US" w:eastAsia="en-ZA"/>
              </w:rPr>
            </w:pPr>
            <w:r>
              <w:rPr>
                <w:rFonts w:ascii="Times New Roman" w:hAnsi="Times New Roman" w:cs="Times New Roman"/>
                <w:b/>
                <w:color w:val="000000"/>
                <w:sz w:val="24"/>
                <w:szCs w:val="24"/>
                <w:lang w:val="en-US" w:eastAsia="en-ZA"/>
              </w:rPr>
              <w:t>BAS/LAS ratio</w:t>
            </w:r>
          </w:p>
        </w:tc>
      </w:tr>
      <w:tr>
        <w:tc>
          <w:tcPr>
            <w:tcW w:w="865" w:type="pct"/>
            <w:vAlign w:val="center"/>
          </w:tcPr>
          <w:p>
            <w:pPr>
              <w:spacing w:line="480" w:lineRule="auto"/>
              <w:jc w:val="center"/>
              <w:rPr>
                <w:rFonts w:ascii="Times New Roman" w:hAnsi="Times New Roman" w:cs="Times New Roman"/>
                <w:sz w:val="24"/>
                <w:szCs w:val="24"/>
                <w:lang w:val="en-US"/>
              </w:rPr>
            </w:pPr>
            <w:bookmarkStart w:id="2" w:name="_Hlk4144647"/>
            <w:r>
              <w:rPr>
                <w:rFonts w:ascii="Times New Roman" w:hAnsi="Times New Roman" w:cs="Times New Roman"/>
                <w:sz w:val="24"/>
                <w:szCs w:val="24"/>
                <w:lang w:val="en-US"/>
              </w:rPr>
              <w:t>H-Beta</w:t>
            </w:r>
          </w:p>
        </w:tc>
        <w:tc>
          <w:tcPr>
            <w:tcW w:w="695"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1.78</w:t>
            </w:r>
          </w:p>
        </w:tc>
        <w:tc>
          <w:tcPr>
            <w:tcW w:w="744"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0.81</w:t>
            </w:r>
          </w:p>
        </w:tc>
        <w:tc>
          <w:tcPr>
            <w:tcW w:w="829"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0.97</w:t>
            </w:r>
          </w:p>
        </w:tc>
        <w:tc>
          <w:tcPr>
            <w:tcW w:w="413"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54.9</w:t>
            </w:r>
          </w:p>
        </w:tc>
        <w:tc>
          <w:tcPr>
            <w:tcW w:w="413"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45.1</w:t>
            </w:r>
          </w:p>
        </w:tc>
        <w:tc>
          <w:tcPr>
            <w:tcW w:w="1042"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1.2</w:t>
            </w:r>
          </w:p>
        </w:tc>
      </w:tr>
      <w:tr>
        <w:tc>
          <w:tcPr>
            <w:tcW w:w="865"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H-ZSM-5</w:t>
            </w:r>
          </w:p>
        </w:tc>
        <w:tc>
          <w:tcPr>
            <w:tcW w:w="695"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1.75</w:t>
            </w:r>
          </w:p>
        </w:tc>
        <w:tc>
          <w:tcPr>
            <w:tcW w:w="744"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0.95</w:t>
            </w:r>
          </w:p>
        </w:tc>
        <w:tc>
          <w:tcPr>
            <w:tcW w:w="829"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0.80</w:t>
            </w:r>
          </w:p>
        </w:tc>
        <w:tc>
          <w:tcPr>
            <w:tcW w:w="413"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71.5</w:t>
            </w:r>
          </w:p>
        </w:tc>
        <w:tc>
          <w:tcPr>
            <w:tcW w:w="413"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28.5</w:t>
            </w:r>
          </w:p>
        </w:tc>
        <w:tc>
          <w:tcPr>
            <w:tcW w:w="1042"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2.5</w:t>
            </w:r>
          </w:p>
        </w:tc>
      </w:tr>
      <w:tr>
        <w:tc>
          <w:tcPr>
            <w:tcW w:w="865"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H-Y</w:t>
            </w:r>
          </w:p>
        </w:tc>
        <w:tc>
          <w:tcPr>
            <w:tcW w:w="695"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1.93</w:t>
            </w:r>
          </w:p>
        </w:tc>
        <w:tc>
          <w:tcPr>
            <w:tcW w:w="744"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0.97</w:t>
            </w:r>
          </w:p>
        </w:tc>
        <w:tc>
          <w:tcPr>
            <w:tcW w:w="829"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0.96</w:t>
            </w:r>
          </w:p>
        </w:tc>
        <w:tc>
          <w:tcPr>
            <w:tcW w:w="413"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50.6</w:t>
            </w:r>
          </w:p>
        </w:tc>
        <w:tc>
          <w:tcPr>
            <w:tcW w:w="413"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49.4</w:t>
            </w:r>
          </w:p>
        </w:tc>
        <w:tc>
          <w:tcPr>
            <w:tcW w:w="1042"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1.0</w:t>
            </w:r>
          </w:p>
        </w:tc>
      </w:tr>
      <w:tr>
        <w:tc>
          <w:tcPr>
            <w:tcW w:w="865"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H-USY</w:t>
            </w:r>
          </w:p>
        </w:tc>
        <w:tc>
          <w:tcPr>
            <w:tcW w:w="695"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2.08</w:t>
            </w:r>
          </w:p>
        </w:tc>
        <w:tc>
          <w:tcPr>
            <w:tcW w:w="744"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0.83</w:t>
            </w:r>
          </w:p>
        </w:tc>
        <w:tc>
          <w:tcPr>
            <w:tcW w:w="829"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1.25</w:t>
            </w:r>
          </w:p>
        </w:tc>
        <w:tc>
          <w:tcPr>
            <w:tcW w:w="413"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55.0</w:t>
            </w:r>
          </w:p>
        </w:tc>
        <w:tc>
          <w:tcPr>
            <w:tcW w:w="413"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45.0</w:t>
            </w:r>
          </w:p>
        </w:tc>
        <w:tc>
          <w:tcPr>
            <w:tcW w:w="1042" w:type="pct"/>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1.2</w:t>
            </w:r>
          </w:p>
        </w:tc>
      </w:tr>
      <w:tr>
        <w:tc>
          <w:tcPr>
            <w:tcW w:w="865" w:type="pct"/>
            <w:tcBorders>
              <w:bottom w:val="single" w:sz="4" w:space="0" w:color="auto"/>
            </w:tcBorders>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H-Mordenite</w:t>
            </w:r>
          </w:p>
        </w:tc>
        <w:tc>
          <w:tcPr>
            <w:tcW w:w="695" w:type="pct"/>
            <w:tcBorders>
              <w:bottom w:val="single" w:sz="4" w:space="0" w:color="auto"/>
            </w:tcBorders>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4.69</w:t>
            </w:r>
          </w:p>
        </w:tc>
        <w:tc>
          <w:tcPr>
            <w:tcW w:w="744" w:type="pct"/>
            <w:tcBorders>
              <w:bottom w:val="single" w:sz="4" w:space="0" w:color="auto"/>
            </w:tcBorders>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2.23</w:t>
            </w:r>
          </w:p>
        </w:tc>
        <w:tc>
          <w:tcPr>
            <w:tcW w:w="829" w:type="pct"/>
            <w:tcBorders>
              <w:bottom w:val="single" w:sz="4" w:space="0" w:color="auto"/>
            </w:tcBorders>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2.46</w:t>
            </w:r>
          </w:p>
        </w:tc>
        <w:tc>
          <w:tcPr>
            <w:tcW w:w="413" w:type="pct"/>
            <w:tcBorders>
              <w:bottom w:val="single" w:sz="4" w:space="0" w:color="auto"/>
            </w:tcBorders>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60.1</w:t>
            </w:r>
          </w:p>
        </w:tc>
        <w:tc>
          <w:tcPr>
            <w:tcW w:w="413" w:type="pct"/>
            <w:tcBorders>
              <w:bottom w:val="single" w:sz="4" w:space="0" w:color="auto"/>
            </w:tcBorders>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39.9</w:t>
            </w:r>
          </w:p>
        </w:tc>
        <w:tc>
          <w:tcPr>
            <w:tcW w:w="1042" w:type="pct"/>
            <w:tcBorders>
              <w:bottom w:val="single" w:sz="4" w:space="0" w:color="auto"/>
            </w:tcBorders>
            <w:vAlign w:val="center"/>
          </w:tcPr>
          <w:p>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1.5</w:t>
            </w:r>
          </w:p>
        </w:tc>
      </w:tr>
    </w:tbl>
    <w:bookmarkEnd w:id="2"/>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BAS − </w:t>
      </w:r>
      <w:proofErr w:type="spellStart"/>
      <w:r>
        <w:rPr>
          <w:rFonts w:ascii="Times New Roman" w:hAnsi="Times New Roman" w:cs="Times New Roman"/>
          <w:sz w:val="24"/>
          <w:szCs w:val="24"/>
          <w:lang w:val="en-GB"/>
        </w:rPr>
        <w:t>Brönsted</w:t>
      </w:r>
      <w:proofErr w:type="spellEnd"/>
      <w:r>
        <w:rPr>
          <w:rFonts w:ascii="Times New Roman" w:hAnsi="Times New Roman" w:cs="Times New Roman"/>
          <w:sz w:val="24"/>
          <w:szCs w:val="24"/>
          <w:lang w:val="en-GB"/>
        </w:rPr>
        <w:t xml:space="preserve"> acid sites.</w:t>
      </w:r>
    </w:p>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LAS − </w:t>
      </w:r>
      <w:proofErr w:type="gramStart"/>
      <w:r>
        <w:rPr>
          <w:rFonts w:ascii="Times New Roman" w:hAnsi="Times New Roman" w:cs="Times New Roman"/>
          <w:sz w:val="24"/>
          <w:szCs w:val="24"/>
          <w:lang w:val="en-GB"/>
        </w:rPr>
        <w:t>Lewis</w:t>
      </w:r>
      <w:proofErr w:type="gramEnd"/>
      <w:r>
        <w:rPr>
          <w:rFonts w:ascii="Times New Roman" w:hAnsi="Times New Roman" w:cs="Times New Roman"/>
          <w:sz w:val="24"/>
          <w:szCs w:val="24"/>
          <w:lang w:val="en-GB"/>
        </w:rPr>
        <w:t xml:space="preserve"> acid sites.</w:t>
      </w:r>
    </w:p>
    <w:p>
      <w:pPr>
        <w:rPr>
          <w:lang w:val="en-GB"/>
        </w:rPr>
      </w:pPr>
      <w:r>
        <w:rPr>
          <w:lang w:val="en-GB"/>
        </w:rPr>
        <w:br w:type="page"/>
      </w:r>
    </w:p>
    <w:p>
      <w:pPr>
        <w:spacing w:after="0" w:line="480" w:lineRule="auto"/>
        <w:jc w:val="both"/>
        <w:rPr>
          <w:rFonts w:ascii="Times New Roman" w:hAnsi="Times New Roman" w:cs="Times New Roman"/>
          <w:iCs/>
          <w:sz w:val="24"/>
          <w:szCs w:val="24"/>
          <w:lang w:val="en-GB"/>
        </w:rPr>
      </w:pPr>
      <w:bookmarkStart w:id="3" w:name="_Hlk151629794"/>
      <w:r>
        <w:rPr>
          <w:rFonts w:ascii="Times New Roman" w:hAnsi="Times New Roman" w:cs="Times New Roman"/>
          <w:b/>
          <w:bCs/>
          <w:iCs/>
          <w:sz w:val="24"/>
          <w:szCs w:val="24"/>
          <w:lang w:val="en-GB"/>
        </w:rPr>
        <w:lastRenderedPageBreak/>
        <w:t>Table S4</w:t>
      </w:r>
    </w:p>
    <w:p>
      <w:pPr>
        <w:spacing w:after="0" w:line="48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t>Proximate and elemental analysis, BET surface area, pore diameter (PD), crystalline index, and crystallite size of the WT+ZSM-5 samples as compared to the WCPR.</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4"/>
        <w:gridCol w:w="599"/>
        <w:gridCol w:w="637"/>
        <w:gridCol w:w="1259"/>
        <w:gridCol w:w="994"/>
        <w:gridCol w:w="615"/>
        <w:gridCol w:w="566"/>
        <w:gridCol w:w="1145"/>
        <w:gridCol w:w="566"/>
        <w:gridCol w:w="466"/>
        <w:gridCol w:w="566"/>
        <w:gridCol w:w="466"/>
        <w:gridCol w:w="466"/>
        <w:gridCol w:w="697"/>
        <w:gridCol w:w="1554"/>
        <w:gridCol w:w="770"/>
      </w:tblGrid>
      <w:tr>
        <w:trPr>
          <w:trHeight w:val="554"/>
        </w:trPr>
        <w:tc>
          <w:tcPr>
            <w:tcW w:w="0" w:type="auto"/>
            <w:vMerge w:val="restart"/>
            <w:tcBorders>
              <w:top w:val="single" w:sz="4" w:space="0" w:color="auto"/>
            </w:tcBorders>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Samples</w:t>
            </w:r>
          </w:p>
        </w:tc>
        <w:tc>
          <w:tcPr>
            <w:tcW w:w="0" w:type="auto"/>
            <w:vMerge w:val="restart"/>
            <w:tcBorders>
              <w:top w:val="single" w:sz="4" w:space="0" w:color="auto"/>
            </w:tcBorders>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T, °C</w:t>
            </w:r>
          </w:p>
        </w:tc>
        <w:tc>
          <w:tcPr>
            <w:tcW w:w="0" w:type="auto"/>
            <w:vMerge w:val="restart"/>
            <w:tcBorders>
              <w:top w:val="single" w:sz="4" w:space="0" w:color="auto"/>
            </w:tcBorders>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t, min</w:t>
            </w:r>
          </w:p>
        </w:tc>
        <w:tc>
          <w:tcPr>
            <w:tcW w:w="0" w:type="auto"/>
            <w:vMerge w:val="restart"/>
            <w:tcBorders>
              <w:top w:val="single" w:sz="4" w:space="0" w:color="auto"/>
            </w:tcBorders>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H</w:t>
            </w:r>
            <w:r>
              <w:rPr>
                <w:rFonts w:ascii="Times New Roman" w:hAnsi="Times New Roman" w:cs="Times New Roman"/>
                <w:b/>
                <w:bCs/>
                <w:sz w:val="20"/>
                <w:szCs w:val="20"/>
                <w:vertAlign w:val="subscript"/>
                <w:lang w:val="en-GB"/>
              </w:rPr>
              <w:t>2</w:t>
            </w:r>
            <w:r>
              <w:rPr>
                <w:rFonts w:ascii="Times New Roman" w:hAnsi="Times New Roman" w:cs="Times New Roman"/>
                <w:b/>
                <w:bCs/>
                <w:sz w:val="20"/>
                <w:szCs w:val="20"/>
                <w:lang w:val="en-GB"/>
              </w:rPr>
              <w:t>O/WCPR</w:t>
            </w:r>
          </w:p>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ratio</w:t>
            </w:r>
          </w:p>
        </w:tc>
        <w:tc>
          <w:tcPr>
            <w:tcW w:w="0" w:type="auto"/>
            <w:gridSpan w:val="4"/>
            <w:tcBorders>
              <w:top w:val="single" w:sz="4" w:space="0" w:color="auto"/>
            </w:tcBorders>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Proximate analysis</w:t>
            </w:r>
          </w:p>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w:t>
            </w:r>
            <w:proofErr w:type="spellStart"/>
            <w:r>
              <w:rPr>
                <w:rFonts w:ascii="Times New Roman" w:hAnsi="Times New Roman" w:cs="Times New Roman"/>
                <w:b/>
                <w:bCs/>
                <w:sz w:val="20"/>
                <w:szCs w:val="20"/>
                <w:lang w:val="en-GB"/>
              </w:rPr>
              <w:t>wt</w:t>
            </w:r>
            <w:proofErr w:type="spellEnd"/>
            <w:r>
              <w:rPr>
                <w:rFonts w:ascii="Times New Roman" w:hAnsi="Times New Roman" w:cs="Times New Roman"/>
                <w:b/>
                <w:bCs/>
                <w:sz w:val="20"/>
                <w:szCs w:val="20"/>
                <w:lang w:val="en-GB"/>
              </w:rPr>
              <w:t>%)</w:t>
            </w:r>
          </w:p>
        </w:tc>
        <w:tc>
          <w:tcPr>
            <w:tcW w:w="0" w:type="auto"/>
            <w:gridSpan w:val="6"/>
            <w:tcBorders>
              <w:top w:val="single" w:sz="4" w:space="0" w:color="auto"/>
            </w:tcBorders>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Elemental analysis (</w:t>
            </w:r>
            <w:proofErr w:type="spellStart"/>
            <w:r>
              <w:rPr>
                <w:rFonts w:ascii="Times New Roman" w:hAnsi="Times New Roman" w:cs="Times New Roman"/>
                <w:b/>
                <w:bCs/>
                <w:sz w:val="20"/>
                <w:szCs w:val="20"/>
                <w:lang w:val="en-GB"/>
              </w:rPr>
              <w:t>wt</w:t>
            </w:r>
            <w:proofErr w:type="spellEnd"/>
            <w:r>
              <w:rPr>
                <w:rFonts w:ascii="Times New Roman" w:hAnsi="Times New Roman" w:cs="Times New Roman"/>
                <w:b/>
                <w:bCs/>
                <w:sz w:val="20"/>
                <w:szCs w:val="20"/>
                <w:lang w:val="en-GB"/>
              </w:rPr>
              <w:t>%)</w:t>
            </w:r>
          </w:p>
        </w:tc>
        <w:tc>
          <w:tcPr>
            <w:tcW w:w="0" w:type="auto"/>
            <w:vMerge w:val="restart"/>
            <w:tcBorders>
              <w:top w:val="single" w:sz="4" w:space="0" w:color="auto"/>
            </w:tcBorders>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BET surface area, m</w:t>
            </w:r>
            <w:r>
              <w:rPr>
                <w:rFonts w:ascii="Times New Roman" w:hAnsi="Times New Roman" w:cs="Times New Roman"/>
                <w:b/>
                <w:bCs/>
                <w:sz w:val="20"/>
                <w:szCs w:val="20"/>
                <w:vertAlign w:val="superscript"/>
                <w:lang w:val="en-GB"/>
              </w:rPr>
              <w:t>2</w:t>
            </w:r>
            <w:r>
              <w:rPr>
                <w:rFonts w:ascii="Times New Roman" w:hAnsi="Times New Roman" w:cs="Times New Roman"/>
                <w:b/>
                <w:bCs/>
                <w:sz w:val="20"/>
                <w:szCs w:val="20"/>
                <w:lang w:val="en-GB"/>
              </w:rPr>
              <w:t>/g</w:t>
            </w:r>
          </w:p>
        </w:tc>
        <w:tc>
          <w:tcPr>
            <w:tcW w:w="0" w:type="auto"/>
            <w:vMerge w:val="restart"/>
            <w:tcBorders>
              <w:top w:val="single" w:sz="4" w:space="0" w:color="auto"/>
            </w:tcBorders>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PD</w:t>
            </w:r>
            <w:r>
              <w:rPr>
                <w:rFonts w:ascii="Times New Roman" w:hAnsi="Times New Roman" w:cs="Times New Roman"/>
                <w:b/>
                <w:bCs/>
                <w:sz w:val="20"/>
                <w:szCs w:val="20"/>
                <w:vertAlign w:val="superscript"/>
                <w:lang w:val="en-GB"/>
              </w:rPr>
              <w:t>3</w:t>
            </w:r>
            <w:r>
              <w:rPr>
                <w:rFonts w:ascii="Times New Roman" w:hAnsi="Times New Roman" w:cs="Times New Roman"/>
                <w:b/>
                <w:bCs/>
                <w:sz w:val="20"/>
                <w:szCs w:val="20"/>
                <w:lang w:val="en-GB"/>
              </w:rPr>
              <w:t>, nm</w:t>
            </w:r>
          </w:p>
        </w:tc>
      </w:tr>
      <w:tr>
        <w:trPr>
          <w:trHeight w:val="372"/>
        </w:trPr>
        <w:tc>
          <w:tcPr>
            <w:tcW w:w="0" w:type="auto"/>
            <w:vMerge/>
            <w:vAlign w:val="center"/>
          </w:tcPr>
          <w:p>
            <w:pPr>
              <w:jc w:val="center"/>
              <w:rPr>
                <w:rFonts w:ascii="Times New Roman" w:hAnsi="Times New Roman" w:cs="Times New Roman"/>
                <w:sz w:val="20"/>
                <w:szCs w:val="20"/>
                <w:lang w:val="en-GB"/>
              </w:rPr>
            </w:pPr>
          </w:p>
        </w:tc>
        <w:tc>
          <w:tcPr>
            <w:tcW w:w="0" w:type="auto"/>
            <w:vMerge/>
            <w:vAlign w:val="center"/>
          </w:tcPr>
          <w:p>
            <w:pPr>
              <w:jc w:val="center"/>
              <w:rPr>
                <w:rFonts w:ascii="Times New Roman" w:hAnsi="Times New Roman" w:cs="Times New Roman"/>
                <w:sz w:val="20"/>
                <w:szCs w:val="20"/>
                <w:lang w:val="en-GB"/>
              </w:rPr>
            </w:pPr>
          </w:p>
        </w:tc>
        <w:tc>
          <w:tcPr>
            <w:tcW w:w="0" w:type="auto"/>
            <w:vMerge/>
            <w:vAlign w:val="center"/>
          </w:tcPr>
          <w:p>
            <w:pPr>
              <w:jc w:val="center"/>
              <w:rPr>
                <w:rFonts w:ascii="Times New Roman" w:hAnsi="Times New Roman" w:cs="Times New Roman"/>
                <w:sz w:val="20"/>
                <w:szCs w:val="20"/>
                <w:lang w:val="en-GB"/>
              </w:rPr>
            </w:pPr>
          </w:p>
        </w:tc>
        <w:tc>
          <w:tcPr>
            <w:tcW w:w="0" w:type="auto"/>
            <w:vMerge/>
            <w:vAlign w:val="center"/>
          </w:tcPr>
          <w:p>
            <w:pPr>
              <w:jc w:val="center"/>
              <w:rPr>
                <w:rFonts w:ascii="Times New Roman" w:hAnsi="Times New Roman" w:cs="Times New Roman"/>
                <w:sz w:val="20"/>
                <w:szCs w:val="20"/>
                <w:lang w:val="en-GB"/>
              </w:rPr>
            </w:pP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Moisture</w:t>
            </w:r>
          </w:p>
        </w:tc>
        <w:tc>
          <w:tcPr>
            <w:tcW w:w="0" w:type="auto"/>
            <w:vAlign w:val="center"/>
          </w:tcPr>
          <w:p>
            <w:pPr>
              <w:jc w:val="center"/>
              <w:rPr>
                <w:rFonts w:ascii="Times New Roman" w:hAnsi="Times New Roman" w:cs="Times New Roman"/>
                <w:b/>
                <w:bCs/>
                <w:sz w:val="20"/>
                <w:szCs w:val="20"/>
                <w:vertAlign w:val="superscript"/>
                <w:lang w:val="en-GB"/>
              </w:rPr>
            </w:pPr>
            <w:r>
              <w:rPr>
                <w:rFonts w:ascii="Times New Roman" w:hAnsi="Times New Roman" w:cs="Times New Roman"/>
                <w:b/>
                <w:bCs/>
                <w:sz w:val="20"/>
                <w:szCs w:val="20"/>
                <w:lang w:val="en-GB"/>
              </w:rPr>
              <w:t>VM</w:t>
            </w:r>
            <w:r>
              <w:rPr>
                <w:rFonts w:ascii="Times New Roman" w:hAnsi="Times New Roman" w:cs="Times New Roman"/>
                <w:b/>
                <w:bCs/>
                <w:sz w:val="20"/>
                <w:szCs w:val="20"/>
                <w:vertAlign w:val="superscript"/>
                <w:lang w:val="en-GB"/>
              </w:rPr>
              <w:t>1</w:t>
            </w:r>
          </w:p>
        </w:tc>
        <w:tc>
          <w:tcPr>
            <w:tcW w:w="0" w:type="auto"/>
            <w:vAlign w:val="center"/>
          </w:tcPr>
          <w:p>
            <w:pPr>
              <w:jc w:val="center"/>
              <w:rPr>
                <w:rFonts w:ascii="Times New Roman" w:hAnsi="Times New Roman" w:cs="Times New Roman"/>
                <w:b/>
                <w:bCs/>
                <w:sz w:val="20"/>
                <w:szCs w:val="20"/>
                <w:vertAlign w:val="superscript"/>
                <w:lang w:val="en-GB"/>
              </w:rPr>
            </w:pPr>
            <w:r>
              <w:rPr>
                <w:rFonts w:ascii="Times New Roman" w:hAnsi="Times New Roman" w:cs="Times New Roman"/>
                <w:b/>
                <w:bCs/>
                <w:sz w:val="20"/>
                <w:szCs w:val="20"/>
                <w:lang w:val="en-GB"/>
              </w:rPr>
              <w:t>FC</w:t>
            </w:r>
            <w:r>
              <w:rPr>
                <w:rFonts w:ascii="Times New Roman" w:hAnsi="Times New Roman" w:cs="Times New Roman"/>
                <w:b/>
                <w:bCs/>
                <w:sz w:val="20"/>
                <w:szCs w:val="20"/>
                <w:vertAlign w:val="superscript"/>
                <w:lang w:val="en-GB"/>
              </w:rPr>
              <w:t>2</w:t>
            </w:r>
          </w:p>
        </w:tc>
        <w:tc>
          <w:tcPr>
            <w:tcW w:w="0" w:type="auto"/>
            <w:vAlign w:val="center"/>
          </w:tcPr>
          <w:p>
            <w:pPr>
              <w:jc w:val="center"/>
              <w:rPr>
                <w:rFonts w:ascii="Times New Roman" w:hAnsi="Times New Roman" w:cs="Times New Roman"/>
                <w:b/>
                <w:bCs/>
                <w:sz w:val="20"/>
                <w:szCs w:val="20"/>
                <w:lang w:val="en-GB"/>
              </w:rPr>
            </w:pPr>
            <w:proofErr w:type="spellStart"/>
            <w:r>
              <w:rPr>
                <w:rFonts w:ascii="Times New Roman" w:hAnsi="Times New Roman" w:cs="Times New Roman"/>
                <w:b/>
                <w:bCs/>
                <w:sz w:val="20"/>
                <w:szCs w:val="20"/>
                <w:lang w:val="en-GB"/>
              </w:rPr>
              <w:t>Ash+Si+Al</w:t>
            </w:r>
            <w:proofErr w:type="spellEnd"/>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C</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H</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O</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N</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S</w:t>
            </w:r>
          </w:p>
        </w:tc>
        <w:tc>
          <w:tcPr>
            <w:tcW w:w="0" w:type="auto"/>
            <w:vAlign w:val="center"/>
          </w:tcPr>
          <w:p>
            <w:pPr>
              <w:jc w:val="center"/>
              <w:rPr>
                <w:rFonts w:ascii="Times New Roman" w:hAnsi="Times New Roman" w:cs="Times New Roman"/>
                <w:b/>
                <w:bCs/>
                <w:sz w:val="20"/>
                <w:szCs w:val="20"/>
                <w:lang w:val="en-GB"/>
              </w:rPr>
            </w:pPr>
            <w:proofErr w:type="spellStart"/>
            <w:r>
              <w:rPr>
                <w:rFonts w:ascii="Times New Roman" w:hAnsi="Times New Roman" w:cs="Times New Roman"/>
                <w:b/>
                <w:bCs/>
                <w:sz w:val="20"/>
                <w:szCs w:val="20"/>
                <w:lang w:val="en-GB"/>
              </w:rPr>
              <w:t>Si+Al</w:t>
            </w:r>
            <w:proofErr w:type="spellEnd"/>
          </w:p>
        </w:tc>
        <w:tc>
          <w:tcPr>
            <w:tcW w:w="0" w:type="auto"/>
            <w:vMerge/>
            <w:vAlign w:val="center"/>
          </w:tcPr>
          <w:p>
            <w:pPr>
              <w:jc w:val="center"/>
              <w:rPr>
                <w:rFonts w:ascii="Times New Roman" w:hAnsi="Times New Roman" w:cs="Times New Roman"/>
                <w:sz w:val="20"/>
                <w:szCs w:val="20"/>
                <w:lang w:val="en-GB"/>
              </w:rPr>
            </w:pPr>
          </w:p>
        </w:tc>
        <w:tc>
          <w:tcPr>
            <w:tcW w:w="0" w:type="auto"/>
            <w:vMerge/>
            <w:vAlign w:val="center"/>
          </w:tcPr>
          <w:p>
            <w:pPr>
              <w:jc w:val="center"/>
              <w:rPr>
                <w:rFonts w:ascii="Times New Roman" w:hAnsi="Times New Roman" w:cs="Times New Roman"/>
                <w:sz w:val="20"/>
                <w:szCs w:val="20"/>
                <w:lang w:val="en-GB"/>
              </w:rPr>
            </w:pPr>
          </w:p>
        </w:tc>
      </w:tr>
      <w:tr>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WCPR</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iCs/>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iCs/>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iCs/>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75.5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19.8</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48.3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40.3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0.5</w:t>
            </w:r>
          </w:p>
        </w:tc>
        <w:tc>
          <w:tcPr>
            <w:tcW w:w="0" w:type="auto"/>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39.4</w:t>
            </w:r>
          </w:p>
        </w:tc>
      </w:tr>
      <w:tr>
        <w:trPr>
          <w:trHeight w:val="295"/>
        </w:trPr>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WT_WCPR_220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220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60</w:t>
            </w:r>
          </w:p>
        </w:tc>
        <w:tc>
          <w:tcPr>
            <w:tcW w:w="0" w:type="auto"/>
            <w:vAlign w:val="center"/>
          </w:tcPr>
          <w:p>
            <w:pPr>
              <w:jc w:val="center"/>
              <w:rPr>
                <w:rFonts w:ascii="Times New Roman" w:eastAsia="Times New Roman" w:hAnsi="Times New Roman" w:cs="Times New Roman"/>
                <w:color w:val="000000"/>
                <w:sz w:val="20"/>
                <w:szCs w:val="20"/>
                <w:lang w:val="en-GB" w:eastAsia="sl-SI"/>
              </w:rPr>
            </w:pPr>
            <w:r>
              <w:rPr>
                <w:rFonts w:ascii="Times New Roman" w:eastAsia="Times New Roman" w:hAnsi="Times New Roman" w:cs="Times New Roman"/>
                <w:color w:val="000000"/>
                <w:sz w:val="20"/>
                <w:szCs w:val="20"/>
                <w:lang w:val="en-GB" w:eastAsia="sl-SI"/>
              </w:rPr>
              <w:t>10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76.5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21.3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55.4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34.5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37.9</w:t>
            </w:r>
          </w:p>
        </w:tc>
      </w:tr>
      <w:tr>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WT+ZSM-5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220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60</w:t>
            </w:r>
          </w:p>
        </w:tc>
        <w:tc>
          <w:tcPr>
            <w:tcW w:w="0" w:type="auto"/>
            <w:vAlign w:val="center"/>
          </w:tcPr>
          <w:p>
            <w:pPr>
              <w:jc w:val="center"/>
              <w:rPr>
                <w:rFonts w:ascii="Times New Roman" w:hAnsi="Times New Roman" w:cs="Times New Roman"/>
                <w:sz w:val="20"/>
                <w:szCs w:val="20"/>
                <w:lang w:val="en-GB"/>
              </w:rPr>
            </w:pPr>
            <w:r>
              <w:rPr>
                <w:rFonts w:ascii="Times New Roman" w:eastAsia="Times New Roman" w:hAnsi="Times New Roman" w:cs="Times New Roman"/>
                <w:color w:val="000000"/>
                <w:sz w:val="20"/>
                <w:szCs w:val="20"/>
                <w:lang w:val="en-GB" w:eastAsia="sl-SI"/>
              </w:rPr>
              <w:t>10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32.1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29.5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36.4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72.6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19.0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0.1</w:t>
            </w:r>
          </w:p>
        </w:tc>
        <w:tc>
          <w:tcPr>
            <w:tcW w:w="0" w:type="auto"/>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24.6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23.5</w:t>
            </w:r>
          </w:p>
        </w:tc>
      </w:tr>
      <w:tr>
        <w:tc>
          <w:tcPr>
            <w:tcW w:w="0" w:type="auto"/>
            <w:vAlign w:val="center"/>
          </w:tcPr>
          <w:p>
            <w:pPr>
              <w:jc w:val="center"/>
              <w:rPr>
                <w:rFonts w:ascii="Times New Roman" w:hAnsi="Times New Roman" w:cs="Times New Roman"/>
                <w:sz w:val="20"/>
                <w:szCs w:val="20"/>
                <w:lang w:val="en-GB"/>
              </w:rPr>
            </w:pPr>
            <w:proofErr w:type="spellStart"/>
            <w:r>
              <w:rPr>
                <w:rFonts w:ascii="Times New Roman" w:hAnsi="Times New Roman" w:cs="Times New Roman"/>
                <w:sz w:val="20"/>
                <w:szCs w:val="20"/>
                <w:lang w:val="en-GB"/>
              </w:rPr>
              <w:t>WT+Beta</w:t>
            </w:r>
            <w:proofErr w:type="spellEnd"/>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220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4.8</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29.5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30.6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35.1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71.9</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16.9</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8.0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22.7</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18.5</w:t>
            </w:r>
          </w:p>
        </w:tc>
      </w:tr>
      <w:tr>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WT+Y</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220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60</w:t>
            </w:r>
          </w:p>
        </w:tc>
        <w:tc>
          <w:tcPr>
            <w:tcW w:w="0" w:type="auto"/>
            <w:vAlign w:val="center"/>
          </w:tcPr>
          <w:p>
            <w:pPr>
              <w:jc w:val="center"/>
              <w:rPr>
                <w:rFonts w:ascii="Times New Roman" w:hAnsi="Times New Roman" w:cs="Times New Roman"/>
                <w:sz w:val="20"/>
                <w:szCs w:val="20"/>
                <w:lang w:val="en-GB"/>
              </w:rPr>
            </w:pPr>
            <w:r>
              <w:rPr>
                <w:rFonts w:ascii="Times New Roman" w:eastAsia="Times New Roman" w:hAnsi="Times New Roman" w:cs="Times New Roman"/>
                <w:color w:val="000000"/>
                <w:sz w:val="20"/>
                <w:szCs w:val="20"/>
                <w:lang w:val="en-GB" w:eastAsia="sl-SI"/>
              </w:rPr>
              <w:t>10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7.9</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35.6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27.9</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28.6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65.5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19.2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11.2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80.6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14.7</w:t>
            </w:r>
          </w:p>
        </w:tc>
      </w:tr>
      <w:tr>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WT+USY</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220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5.9</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30.3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32.7</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31.0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70.1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17.3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9.1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38.4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22.8</w:t>
            </w:r>
          </w:p>
        </w:tc>
      </w:tr>
      <w:tr>
        <w:tc>
          <w:tcPr>
            <w:tcW w:w="0" w:type="auto"/>
            <w:tcBorders>
              <w:bottom w:val="single" w:sz="4" w:space="0" w:color="auto"/>
            </w:tcBorders>
            <w:vAlign w:val="center"/>
          </w:tcPr>
          <w:p>
            <w:pPr>
              <w:jc w:val="center"/>
              <w:rPr>
                <w:rFonts w:ascii="Times New Roman" w:hAnsi="Times New Roman" w:cs="Times New Roman"/>
                <w:sz w:val="20"/>
                <w:szCs w:val="20"/>
                <w:lang w:val="en-GB"/>
              </w:rPr>
            </w:pPr>
            <w:proofErr w:type="spellStart"/>
            <w:r>
              <w:rPr>
                <w:rFonts w:ascii="Times New Roman" w:hAnsi="Times New Roman" w:cs="Times New Roman"/>
                <w:sz w:val="20"/>
                <w:szCs w:val="20"/>
                <w:lang w:val="en-GB"/>
              </w:rPr>
              <w:t>WT+Mordenite</w:t>
            </w:r>
            <w:proofErr w:type="spellEnd"/>
          </w:p>
        </w:tc>
        <w:tc>
          <w:tcPr>
            <w:tcW w:w="0" w:type="auto"/>
            <w:tcBorders>
              <w:bottom w:val="single" w:sz="4" w:space="0" w:color="auto"/>
            </w:tcBorders>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220</w:t>
            </w:r>
          </w:p>
        </w:tc>
        <w:tc>
          <w:tcPr>
            <w:tcW w:w="0" w:type="auto"/>
            <w:tcBorders>
              <w:bottom w:val="single" w:sz="4" w:space="0" w:color="auto"/>
            </w:tcBorders>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60</w:t>
            </w:r>
          </w:p>
        </w:tc>
        <w:tc>
          <w:tcPr>
            <w:tcW w:w="0" w:type="auto"/>
            <w:tcBorders>
              <w:bottom w:val="single" w:sz="4" w:space="0" w:color="auto"/>
            </w:tcBorders>
            <w:vAlign w:val="center"/>
          </w:tcPr>
          <w:p>
            <w:pPr>
              <w:jc w:val="center"/>
              <w:rPr>
                <w:rFonts w:ascii="Times New Roman" w:hAnsi="Times New Roman" w:cs="Times New Roman"/>
                <w:sz w:val="20"/>
                <w:szCs w:val="20"/>
                <w:lang w:val="en-GB"/>
              </w:rPr>
            </w:pPr>
            <w:r>
              <w:rPr>
                <w:rFonts w:ascii="Times New Roman" w:eastAsia="Times New Roman" w:hAnsi="Times New Roman" w:cs="Times New Roman"/>
                <w:color w:val="000000"/>
                <w:sz w:val="20"/>
                <w:szCs w:val="20"/>
                <w:lang w:val="en-GB" w:eastAsia="sl-SI"/>
              </w:rPr>
              <w:t>10</w:t>
            </w:r>
          </w:p>
        </w:tc>
        <w:tc>
          <w:tcPr>
            <w:tcW w:w="0" w:type="auto"/>
            <w:tcBorders>
              <w:bottom w:val="single" w:sz="4" w:space="0" w:color="auto"/>
            </w:tcBorders>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6.0</w:t>
            </w:r>
          </w:p>
        </w:tc>
        <w:tc>
          <w:tcPr>
            <w:tcW w:w="0" w:type="auto"/>
            <w:tcBorders>
              <w:bottom w:val="single" w:sz="4" w:space="0" w:color="auto"/>
            </w:tcBorders>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30.9</w:t>
            </w:r>
          </w:p>
        </w:tc>
        <w:tc>
          <w:tcPr>
            <w:tcW w:w="0" w:type="auto"/>
            <w:tcBorders>
              <w:bottom w:val="single" w:sz="4" w:space="0" w:color="auto"/>
            </w:tcBorders>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30.0</w:t>
            </w:r>
          </w:p>
        </w:tc>
        <w:tc>
          <w:tcPr>
            <w:tcW w:w="0" w:type="auto"/>
            <w:tcBorders>
              <w:bottom w:val="single" w:sz="4" w:space="0" w:color="auto"/>
            </w:tcBorders>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33.1</w:t>
            </w:r>
          </w:p>
        </w:tc>
        <w:tc>
          <w:tcPr>
            <w:tcW w:w="0" w:type="auto"/>
            <w:tcBorders>
              <w:bottom w:val="single" w:sz="4" w:space="0" w:color="auto"/>
            </w:tcBorders>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71.5</w:t>
            </w:r>
          </w:p>
        </w:tc>
        <w:tc>
          <w:tcPr>
            <w:tcW w:w="0" w:type="auto"/>
            <w:tcBorders>
              <w:bottom w:val="single" w:sz="4" w:space="0" w:color="auto"/>
            </w:tcBorders>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3.4</w:t>
            </w:r>
          </w:p>
        </w:tc>
        <w:tc>
          <w:tcPr>
            <w:tcW w:w="0" w:type="auto"/>
            <w:tcBorders>
              <w:bottom w:val="single" w:sz="4" w:space="0" w:color="auto"/>
            </w:tcBorders>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15.9</w:t>
            </w:r>
          </w:p>
        </w:tc>
        <w:tc>
          <w:tcPr>
            <w:tcW w:w="0" w:type="auto"/>
            <w:tcBorders>
              <w:bottom w:val="single" w:sz="4" w:space="0" w:color="auto"/>
            </w:tcBorders>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0.1</w:t>
            </w:r>
          </w:p>
        </w:tc>
        <w:tc>
          <w:tcPr>
            <w:tcW w:w="0" w:type="auto"/>
            <w:tcBorders>
              <w:bottom w:val="single" w:sz="4" w:space="0" w:color="auto"/>
            </w:tcBorders>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tcBorders>
              <w:bottom w:val="single" w:sz="4" w:space="0" w:color="auto"/>
            </w:tcBorders>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9.1</w:t>
            </w:r>
          </w:p>
        </w:tc>
        <w:tc>
          <w:tcPr>
            <w:tcW w:w="0" w:type="auto"/>
            <w:tcBorders>
              <w:bottom w:val="single" w:sz="4" w:space="0" w:color="auto"/>
            </w:tcBorders>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22.8</w:t>
            </w:r>
          </w:p>
        </w:tc>
        <w:tc>
          <w:tcPr>
            <w:tcW w:w="0" w:type="auto"/>
            <w:tcBorders>
              <w:bottom w:val="single" w:sz="4" w:space="0" w:color="auto"/>
            </w:tcBorders>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27.3</w:t>
            </w:r>
          </w:p>
        </w:tc>
      </w:tr>
    </w:tbl>
    <w:p>
      <w:pPr>
        <w:spacing w:after="0" w:line="240" w:lineRule="auto"/>
        <w:jc w:val="both"/>
        <w:rPr>
          <w:rFonts w:ascii="Times New Roman" w:hAnsi="Times New Roman" w:cs="Times New Roman"/>
          <w:iCs/>
          <w:sz w:val="20"/>
          <w:szCs w:val="20"/>
          <w:lang w:val="en-GB"/>
        </w:rPr>
      </w:pPr>
      <w:r>
        <w:rPr>
          <w:rFonts w:ascii="Times New Roman" w:hAnsi="Times New Roman" w:cs="Times New Roman"/>
          <w:iCs/>
          <w:sz w:val="20"/>
          <w:szCs w:val="20"/>
          <w:vertAlign w:val="superscript"/>
          <w:lang w:val="en-GB"/>
        </w:rPr>
        <w:t>1</w:t>
      </w:r>
      <w:r>
        <w:rPr>
          <w:rFonts w:ascii="Times New Roman" w:hAnsi="Times New Roman" w:cs="Times New Roman"/>
          <w:iCs/>
          <w:sz w:val="20"/>
          <w:szCs w:val="20"/>
          <w:lang w:val="en-GB"/>
        </w:rPr>
        <w:t xml:space="preserve">VM – volatile matter, </w:t>
      </w:r>
      <w:r>
        <w:rPr>
          <w:rFonts w:ascii="Times New Roman" w:hAnsi="Times New Roman" w:cs="Times New Roman"/>
          <w:iCs/>
          <w:sz w:val="20"/>
          <w:szCs w:val="20"/>
          <w:vertAlign w:val="superscript"/>
          <w:lang w:val="en-GB"/>
        </w:rPr>
        <w:t>2</w:t>
      </w:r>
      <w:r>
        <w:rPr>
          <w:rFonts w:ascii="Times New Roman" w:hAnsi="Times New Roman" w:cs="Times New Roman"/>
          <w:iCs/>
          <w:sz w:val="20"/>
          <w:szCs w:val="20"/>
          <w:lang w:val="en-GB"/>
        </w:rPr>
        <w:t xml:space="preserve">FC – fixed carbon, </w:t>
      </w:r>
      <w:r>
        <w:rPr>
          <w:rFonts w:ascii="Times New Roman" w:hAnsi="Times New Roman" w:cs="Times New Roman"/>
          <w:iCs/>
          <w:sz w:val="20"/>
          <w:szCs w:val="20"/>
          <w:vertAlign w:val="superscript"/>
          <w:lang w:val="en-GB"/>
        </w:rPr>
        <w:t>3</w:t>
      </w:r>
      <w:r>
        <w:rPr>
          <w:rFonts w:ascii="Times New Roman" w:hAnsi="Times New Roman" w:cs="Times New Roman"/>
          <w:iCs/>
          <w:sz w:val="20"/>
          <w:szCs w:val="20"/>
          <w:lang w:val="en-GB"/>
        </w:rPr>
        <w:t>PD – Average pore diameter measured from the desorption branch according to the BJH method.</w:t>
      </w:r>
    </w:p>
    <w:p>
      <w:pPr>
        <w:spacing w:after="0" w:line="480" w:lineRule="auto"/>
        <w:jc w:val="both"/>
        <w:rPr>
          <w:rFonts w:ascii="Times New Roman" w:hAnsi="Times New Roman" w:cs="Times New Roman"/>
          <w:iCs/>
          <w:sz w:val="24"/>
          <w:szCs w:val="24"/>
          <w:lang w:val="en-GB"/>
        </w:rPr>
      </w:pPr>
    </w:p>
    <w:p>
      <w:pPr>
        <w:spacing w:after="0" w:line="480" w:lineRule="auto"/>
        <w:jc w:val="both"/>
        <w:rPr>
          <w:rFonts w:ascii="Times New Roman" w:hAnsi="Times New Roman" w:cs="Times New Roman"/>
          <w:iCs/>
          <w:sz w:val="24"/>
          <w:szCs w:val="24"/>
          <w:lang w:val="en-GB"/>
        </w:rPr>
      </w:pPr>
      <w:r>
        <w:rPr>
          <w:rFonts w:ascii="Times New Roman" w:hAnsi="Times New Roman" w:cs="Times New Roman"/>
          <w:b/>
          <w:bCs/>
          <w:iCs/>
          <w:sz w:val="24"/>
          <w:szCs w:val="24"/>
          <w:lang w:val="en-GB"/>
        </w:rPr>
        <w:t>Table S5</w:t>
      </w:r>
    </w:p>
    <w:p>
      <w:pPr>
        <w:spacing w:after="0" w:line="48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t xml:space="preserve">HHV, solid yield, carbon yield, hydrogen yield, energy yield, DC, DH, DO, EF, atomic ratios, CE and WL of the </w:t>
      </w:r>
      <w:proofErr w:type="spellStart"/>
      <w:r>
        <w:rPr>
          <w:rFonts w:ascii="Times New Roman" w:hAnsi="Times New Roman" w:cs="Times New Roman"/>
          <w:iCs/>
          <w:sz w:val="24"/>
          <w:szCs w:val="24"/>
          <w:lang w:val="en-GB"/>
        </w:rPr>
        <w:t>WT+Zeolite</w:t>
      </w:r>
      <w:proofErr w:type="spellEnd"/>
      <w:r>
        <w:rPr>
          <w:rFonts w:ascii="Times New Roman" w:hAnsi="Times New Roman" w:cs="Times New Roman"/>
          <w:iCs/>
          <w:sz w:val="24"/>
          <w:szCs w:val="24"/>
          <w:lang w:val="en-GB"/>
        </w:rPr>
        <w:t xml:space="preserve"> samples as compared to the WCPR.</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550"/>
        <w:gridCol w:w="550"/>
        <w:gridCol w:w="1257"/>
        <w:gridCol w:w="771"/>
        <w:gridCol w:w="677"/>
        <w:gridCol w:w="871"/>
        <w:gridCol w:w="1071"/>
        <w:gridCol w:w="838"/>
        <w:gridCol w:w="619"/>
        <w:gridCol w:w="630"/>
        <w:gridCol w:w="630"/>
        <w:gridCol w:w="565"/>
        <w:gridCol w:w="571"/>
        <w:gridCol w:w="571"/>
        <w:gridCol w:w="565"/>
        <w:gridCol w:w="664"/>
      </w:tblGrid>
      <w:tr>
        <w:trPr>
          <w:trHeight w:val="570"/>
        </w:trPr>
        <w:tc>
          <w:tcPr>
            <w:tcW w:w="1560" w:type="dxa"/>
            <w:vMerge w:val="restart"/>
            <w:tcBorders>
              <w:top w:val="single" w:sz="4" w:space="0" w:color="auto"/>
            </w:tcBorders>
            <w:vAlign w:val="center"/>
          </w:tcPr>
          <w:p>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Samples</w:t>
            </w:r>
          </w:p>
        </w:tc>
        <w:tc>
          <w:tcPr>
            <w:tcW w:w="550" w:type="dxa"/>
            <w:vMerge w:val="restart"/>
            <w:tcBorders>
              <w:top w:val="single" w:sz="4" w:space="0" w:color="auto"/>
            </w:tcBorders>
            <w:vAlign w:val="center"/>
          </w:tcPr>
          <w:p>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T, °C</w:t>
            </w:r>
          </w:p>
        </w:tc>
        <w:tc>
          <w:tcPr>
            <w:tcW w:w="550" w:type="dxa"/>
            <w:vMerge w:val="restart"/>
            <w:tcBorders>
              <w:top w:val="single" w:sz="4" w:space="0" w:color="auto"/>
            </w:tcBorders>
            <w:vAlign w:val="center"/>
          </w:tcPr>
          <w:p>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t, min</w:t>
            </w:r>
          </w:p>
        </w:tc>
        <w:tc>
          <w:tcPr>
            <w:tcW w:w="1257" w:type="dxa"/>
            <w:vMerge w:val="restart"/>
            <w:tcBorders>
              <w:top w:val="single" w:sz="4" w:space="0" w:color="auto"/>
            </w:tcBorders>
            <w:vAlign w:val="center"/>
          </w:tcPr>
          <w:p>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H</w:t>
            </w:r>
            <w:r>
              <w:rPr>
                <w:rFonts w:ascii="Times New Roman" w:hAnsi="Times New Roman" w:cs="Times New Roman"/>
                <w:b/>
                <w:bCs/>
                <w:sz w:val="18"/>
                <w:szCs w:val="18"/>
                <w:vertAlign w:val="subscript"/>
                <w:lang w:val="en-GB"/>
              </w:rPr>
              <w:t>2</w:t>
            </w:r>
            <w:r>
              <w:rPr>
                <w:rFonts w:ascii="Times New Roman" w:hAnsi="Times New Roman" w:cs="Times New Roman"/>
                <w:b/>
                <w:bCs/>
                <w:sz w:val="18"/>
                <w:szCs w:val="18"/>
                <w:lang w:val="en-GB"/>
              </w:rPr>
              <w:t>O/WCPR</w:t>
            </w:r>
          </w:p>
          <w:p>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ratio</w:t>
            </w:r>
          </w:p>
        </w:tc>
        <w:tc>
          <w:tcPr>
            <w:tcW w:w="771" w:type="dxa"/>
            <w:vMerge w:val="restart"/>
            <w:tcBorders>
              <w:top w:val="single" w:sz="4" w:space="0" w:color="auto"/>
            </w:tcBorders>
            <w:vAlign w:val="center"/>
          </w:tcPr>
          <w:p>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HHV,</w:t>
            </w:r>
          </w:p>
          <w:p>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MJ/kg</w:t>
            </w:r>
          </w:p>
        </w:tc>
        <w:tc>
          <w:tcPr>
            <w:tcW w:w="677" w:type="dxa"/>
            <w:vMerge w:val="restart"/>
            <w:tcBorders>
              <w:top w:val="single" w:sz="4" w:space="0" w:color="auto"/>
            </w:tcBorders>
            <w:vAlign w:val="center"/>
          </w:tcPr>
          <w:p>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 xml:space="preserve">Solid yield, </w:t>
            </w:r>
            <w:proofErr w:type="spellStart"/>
            <w:r>
              <w:rPr>
                <w:rFonts w:ascii="Times New Roman" w:hAnsi="Times New Roman" w:cs="Times New Roman"/>
                <w:b/>
                <w:bCs/>
                <w:sz w:val="18"/>
                <w:szCs w:val="18"/>
                <w:lang w:val="en-GB"/>
              </w:rPr>
              <w:t>wt</w:t>
            </w:r>
            <w:proofErr w:type="spellEnd"/>
            <w:r>
              <w:rPr>
                <w:rFonts w:ascii="Times New Roman" w:hAnsi="Times New Roman" w:cs="Times New Roman"/>
                <w:b/>
                <w:bCs/>
                <w:sz w:val="18"/>
                <w:szCs w:val="18"/>
                <w:lang w:val="en-GB"/>
              </w:rPr>
              <w:t>%</w:t>
            </w:r>
          </w:p>
        </w:tc>
        <w:tc>
          <w:tcPr>
            <w:tcW w:w="871" w:type="dxa"/>
            <w:vMerge w:val="restart"/>
            <w:tcBorders>
              <w:top w:val="single" w:sz="4" w:space="0" w:color="auto"/>
            </w:tcBorders>
            <w:vAlign w:val="center"/>
          </w:tcPr>
          <w:p>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Carbon yield,</w:t>
            </w:r>
          </w:p>
          <w:p>
            <w:pPr>
              <w:jc w:val="center"/>
              <w:rPr>
                <w:rFonts w:ascii="Times New Roman" w:hAnsi="Times New Roman" w:cs="Times New Roman"/>
                <w:b/>
                <w:bCs/>
                <w:sz w:val="18"/>
                <w:szCs w:val="18"/>
                <w:lang w:val="en-GB"/>
              </w:rPr>
            </w:pPr>
            <w:proofErr w:type="spellStart"/>
            <w:r>
              <w:rPr>
                <w:rFonts w:ascii="Times New Roman" w:hAnsi="Times New Roman" w:cs="Times New Roman"/>
                <w:b/>
                <w:bCs/>
                <w:sz w:val="18"/>
                <w:szCs w:val="18"/>
                <w:lang w:val="en-GB"/>
              </w:rPr>
              <w:t>wt</w:t>
            </w:r>
            <w:proofErr w:type="spellEnd"/>
            <w:r>
              <w:rPr>
                <w:rFonts w:ascii="Times New Roman" w:hAnsi="Times New Roman" w:cs="Times New Roman"/>
                <w:b/>
                <w:bCs/>
                <w:sz w:val="18"/>
                <w:szCs w:val="18"/>
                <w:lang w:val="en-GB"/>
              </w:rPr>
              <w:t>%</w:t>
            </w:r>
          </w:p>
        </w:tc>
        <w:tc>
          <w:tcPr>
            <w:tcW w:w="1071" w:type="dxa"/>
            <w:vMerge w:val="restart"/>
            <w:tcBorders>
              <w:top w:val="single" w:sz="4" w:space="0" w:color="auto"/>
            </w:tcBorders>
            <w:vAlign w:val="center"/>
          </w:tcPr>
          <w:p>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Hydrogen yield,</w:t>
            </w:r>
          </w:p>
          <w:p>
            <w:pPr>
              <w:jc w:val="center"/>
              <w:rPr>
                <w:rFonts w:ascii="Times New Roman" w:hAnsi="Times New Roman" w:cs="Times New Roman"/>
                <w:b/>
                <w:bCs/>
                <w:sz w:val="18"/>
                <w:szCs w:val="18"/>
                <w:lang w:val="en-GB"/>
              </w:rPr>
            </w:pPr>
            <w:proofErr w:type="spellStart"/>
            <w:r>
              <w:rPr>
                <w:rFonts w:ascii="Times New Roman" w:hAnsi="Times New Roman" w:cs="Times New Roman"/>
                <w:b/>
                <w:bCs/>
                <w:sz w:val="18"/>
                <w:szCs w:val="18"/>
                <w:lang w:val="en-GB"/>
              </w:rPr>
              <w:t>wt</w:t>
            </w:r>
            <w:proofErr w:type="spellEnd"/>
            <w:r>
              <w:rPr>
                <w:rFonts w:ascii="Times New Roman" w:hAnsi="Times New Roman" w:cs="Times New Roman"/>
                <w:b/>
                <w:bCs/>
                <w:sz w:val="18"/>
                <w:szCs w:val="18"/>
                <w:lang w:val="en-GB"/>
              </w:rPr>
              <w:t>%</w:t>
            </w:r>
          </w:p>
        </w:tc>
        <w:tc>
          <w:tcPr>
            <w:tcW w:w="838" w:type="dxa"/>
            <w:vMerge w:val="restart"/>
            <w:tcBorders>
              <w:top w:val="single" w:sz="4" w:space="0" w:color="auto"/>
            </w:tcBorders>
            <w:vAlign w:val="center"/>
          </w:tcPr>
          <w:p>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Energy yield, %</w:t>
            </w:r>
          </w:p>
        </w:tc>
        <w:tc>
          <w:tcPr>
            <w:tcW w:w="619" w:type="dxa"/>
            <w:vMerge w:val="restart"/>
            <w:tcBorders>
              <w:top w:val="single" w:sz="4" w:space="0" w:color="auto"/>
            </w:tcBorders>
            <w:vAlign w:val="center"/>
          </w:tcPr>
          <w:p>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DC</w:t>
            </w:r>
            <w:r>
              <w:rPr>
                <w:rFonts w:ascii="Times New Roman" w:hAnsi="Times New Roman" w:cs="Times New Roman"/>
                <w:b/>
                <w:bCs/>
                <w:sz w:val="18"/>
                <w:szCs w:val="18"/>
                <w:vertAlign w:val="superscript"/>
                <w:lang w:val="en-GB"/>
              </w:rPr>
              <w:t>1</w:t>
            </w:r>
            <w:r>
              <w:rPr>
                <w:rFonts w:ascii="Times New Roman" w:hAnsi="Times New Roman" w:cs="Times New Roman"/>
                <w:b/>
                <w:bCs/>
                <w:sz w:val="18"/>
                <w:szCs w:val="18"/>
                <w:lang w:val="en-GB"/>
              </w:rPr>
              <w:t>, %</w:t>
            </w:r>
          </w:p>
        </w:tc>
        <w:tc>
          <w:tcPr>
            <w:tcW w:w="630" w:type="dxa"/>
            <w:vMerge w:val="restart"/>
            <w:tcBorders>
              <w:top w:val="single" w:sz="4" w:space="0" w:color="auto"/>
            </w:tcBorders>
            <w:vAlign w:val="center"/>
          </w:tcPr>
          <w:p>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DH</w:t>
            </w:r>
            <w:r>
              <w:rPr>
                <w:rFonts w:ascii="Times New Roman" w:hAnsi="Times New Roman" w:cs="Times New Roman"/>
                <w:b/>
                <w:bCs/>
                <w:sz w:val="18"/>
                <w:szCs w:val="18"/>
                <w:vertAlign w:val="superscript"/>
                <w:lang w:val="en-GB"/>
              </w:rPr>
              <w:t>2</w:t>
            </w:r>
            <w:r>
              <w:rPr>
                <w:rFonts w:ascii="Times New Roman" w:hAnsi="Times New Roman" w:cs="Times New Roman"/>
                <w:b/>
                <w:bCs/>
                <w:sz w:val="18"/>
                <w:szCs w:val="18"/>
                <w:lang w:val="en-GB"/>
              </w:rPr>
              <w:t>, %</w:t>
            </w:r>
          </w:p>
        </w:tc>
        <w:tc>
          <w:tcPr>
            <w:tcW w:w="630" w:type="dxa"/>
            <w:vMerge w:val="restart"/>
            <w:tcBorders>
              <w:top w:val="single" w:sz="4" w:space="0" w:color="auto"/>
            </w:tcBorders>
            <w:vAlign w:val="center"/>
          </w:tcPr>
          <w:p>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DO</w:t>
            </w:r>
            <w:r>
              <w:rPr>
                <w:rFonts w:ascii="Times New Roman" w:hAnsi="Times New Roman" w:cs="Times New Roman"/>
                <w:b/>
                <w:bCs/>
                <w:sz w:val="18"/>
                <w:szCs w:val="18"/>
                <w:vertAlign w:val="superscript"/>
                <w:lang w:val="en-GB"/>
              </w:rPr>
              <w:t>3</w:t>
            </w:r>
            <w:r>
              <w:rPr>
                <w:rFonts w:ascii="Times New Roman" w:hAnsi="Times New Roman" w:cs="Times New Roman"/>
                <w:b/>
                <w:bCs/>
                <w:sz w:val="18"/>
                <w:szCs w:val="18"/>
                <w:lang w:val="en-GB"/>
              </w:rPr>
              <w:t>, %</w:t>
            </w:r>
          </w:p>
        </w:tc>
        <w:tc>
          <w:tcPr>
            <w:tcW w:w="565" w:type="dxa"/>
            <w:vMerge w:val="restart"/>
            <w:tcBorders>
              <w:top w:val="single" w:sz="4" w:space="0" w:color="auto"/>
            </w:tcBorders>
            <w:vAlign w:val="center"/>
          </w:tcPr>
          <w:p>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EF</w:t>
            </w:r>
            <w:r>
              <w:rPr>
                <w:rFonts w:ascii="Times New Roman" w:hAnsi="Times New Roman" w:cs="Times New Roman"/>
                <w:b/>
                <w:bCs/>
                <w:sz w:val="18"/>
                <w:szCs w:val="18"/>
                <w:vertAlign w:val="superscript"/>
                <w:lang w:val="en-GB"/>
              </w:rPr>
              <w:t>4</w:t>
            </w:r>
          </w:p>
        </w:tc>
        <w:tc>
          <w:tcPr>
            <w:tcW w:w="1142" w:type="dxa"/>
            <w:gridSpan w:val="2"/>
            <w:tcBorders>
              <w:top w:val="single" w:sz="4" w:space="0" w:color="auto"/>
            </w:tcBorders>
            <w:vAlign w:val="center"/>
          </w:tcPr>
          <w:p>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Atomic ratio</w:t>
            </w:r>
          </w:p>
        </w:tc>
        <w:tc>
          <w:tcPr>
            <w:tcW w:w="565" w:type="dxa"/>
            <w:vMerge w:val="restart"/>
            <w:tcBorders>
              <w:top w:val="single" w:sz="4" w:space="0" w:color="auto"/>
            </w:tcBorders>
            <w:vAlign w:val="center"/>
          </w:tcPr>
          <w:p>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CE</w:t>
            </w:r>
            <w:r>
              <w:rPr>
                <w:rFonts w:ascii="Times New Roman" w:hAnsi="Times New Roman" w:cs="Times New Roman"/>
                <w:b/>
                <w:bCs/>
                <w:sz w:val="18"/>
                <w:szCs w:val="18"/>
                <w:vertAlign w:val="superscript"/>
                <w:lang w:val="en-GB"/>
              </w:rPr>
              <w:t>5</w:t>
            </w:r>
          </w:p>
        </w:tc>
        <w:tc>
          <w:tcPr>
            <w:tcW w:w="664" w:type="dxa"/>
            <w:vMerge w:val="restart"/>
            <w:tcBorders>
              <w:top w:val="single" w:sz="4" w:space="0" w:color="auto"/>
            </w:tcBorders>
            <w:vAlign w:val="center"/>
          </w:tcPr>
          <w:p>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WL</w:t>
            </w:r>
            <w:r>
              <w:rPr>
                <w:rFonts w:ascii="Times New Roman" w:hAnsi="Times New Roman" w:cs="Times New Roman"/>
                <w:b/>
                <w:bCs/>
                <w:sz w:val="18"/>
                <w:szCs w:val="18"/>
                <w:vertAlign w:val="superscript"/>
                <w:lang w:val="en-GB"/>
              </w:rPr>
              <w:t>6</w:t>
            </w:r>
            <w:r>
              <w:rPr>
                <w:rFonts w:ascii="Times New Roman" w:hAnsi="Times New Roman" w:cs="Times New Roman"/>
                <w:b/>
                <w:bCs/>
                <w:sz w:val="18"/>
                <w:szCs w:val="18"/>
                <w:lang w:val="en-GB"/>
              </w:rPr>
              <w:t>, %</w:t>
            </w:r>
          </w:p>
        </w:tc>
      </w:tr>
      <w:tr>
        <w:trPr>
          <w:trHeight w:val="360"/>
        </w:trPr>
        <w:tc>
          <w:tcPr>
            <w:tcW w:w="1560" w:type="dxa"/>
            <w:vMerge/>
            <w:vAlign w:val="center"/>
          </w:tcPr>
          <w:p>
            <w:pPr>
              <w:jc w:val="center"/>
              <w:rPr>
                <w:rFonts w:ascii="Times New Roman" w:hAnsi="Times New Roman" w:cs="Times New Roman"/>
                <w:b/>
                <w:bCs/>
                <w:sz w:val="18"/>
                <w:szCs w:val="18"/>
                <w:lang w:val="en-GB"/>
              </w:rPr>
            </w:pPr>
          </w:p>
        </w:tc>
        <w:tc>
          <w:tcPr>
            <w:tcW w:w="550" w:type="dxa"/>
            <w:vMerge/>
            <w:vAlign w:val="center"/>
          </w:tcPr>
          <w:p>
            <w:pPr>
              <w:jc w:val="center"/>
              <w:rPr>
                <w:rFonts w:ascii="Times New Roman" w:hAnsi="Times New Roman" w:cs="Times New Roman"/>
                <w:b/>
                <w:bCs/>
                <w:sz w:val="18"/>
                <w:szCs w:val="18"/>
                <w:lang w:val="en-GB"/>
              </w:rPr>
            </w:pPr>
          </w:p>
        </w:tc>
        <w:tc>
          <w:tcPr>
            <w:tcW w:w="550" w:type="dxa"/>
            <w:vMerge/>
            <w:vAlign w:val="center"/>
          </w:tcPr>
          <w:p>
            <w:pPr>
              <w:jc w:val="center"/>
              <w:rPr>
                <w:rFonts w:ascii="Times New Roman" w:hAnsi="Times New Roman" w:cs="Times New Roman"/>
                <w:b/>
                <w:bCs/>
                <w:sz w:val="18"/>
                <w:szCs w:val="18"/>
                <w:lang w:val="en-GB"/>
              </w:rPr>
            </w:pPr>
          </w:p>
        </w:tc>
        <w:tc>
          <w:tcPr>
            <w:tcW w:w="1257" w:type="dxa"/>
            <w:vMerge/>
            <w:vAlign w:val="center"/>
          </w:tcPr>
          <w:p>
            <w:pPr>
              <w:jc w:val="center"/>
              <w:rPr>
                <w:rFonts w:ascii="Times New Roman" w:hAnsi="Times New Roman" w:cs="Times New Roman"/>
                <w:b/>
                <w:bCs/>
                <w:sz w:val="18"/>
                <w:szCs w:val="18"/>
                <w:lang w:val="en-GB"/>
              </w:rPr>
            </w:pPr>
          </w:p>
        </w:tc>
        <w:tc>
          <w:tcPr>
            <w:tcW w:w="771" w:type="dxa"/>
            <w:vMerge/>
            <w:vAlign w:val="center"/>
          </w:tcPr>
          <w:p>
            <w:pPr>
              <w:jc w:val="center"/>
              <w:rPr>
                <w:rFonts w:ascii="Times New Roman" w:hAnsi="Times New Roman" w:cs="Times New Roman"/>
                <w:b/>
                <w:bCs/>
                <w:sz w:val="18"/>
                <w:szCs w:val="18"/>
                <w:lang w:val="en-GB"/>
              </w:rPr>
            </w:pPr>
          </w:p>
        </w:tc>
        <w:tc>
          <w:tcPr>
            <w:tcW w:w="677" w:type="dxa"/>
            <w:vMerge/>
            <w:vAlign w:val="center"/>
          </w:tcPr>
          <w:p>
            <w:pPr>
              <w:jc w:val="center"/>
              <w:rPr>
                <w:rFonts w:ascii="Times New Roman" w:hAnsi="Times New Roman" w:cs="Times New Roman"/>
                <w:b/>
                <w:bCs/>
                <w:sz w:val="18"/>
                <w:szCs w:val="18"/>
                <w:lang w:val="en-GB"/>
              </w:rPr>
            </w:pPr>
          </w:p>
        </w:tc>
        <w:tc>
          <w:tcPr>
            <w:tcW w:w="871" w:type="dxa"/>
            <w:vMerge/>
            <w:vAlign w:val="center"/>
          </w:tcPr>
          <w:p>
            <w:pPr>
              <w:jc w:val="center"/>
              <w:rPr>
                <w:rFonts w:ascii="Times New Roman" w:hAnsi="Times New Roman" w:cs="Times New Roman"/>
                <w:b/>
                <w:bCs/>
                <w:sz w:val="18"/>
                <w:szCs w:val="18"/>
                <w:lang w:val="en-GB"/>
              </w:rPr>
            </w:pPr>
          </w:p>
        </w:tc>
        <w:tc>
          <w:tcPr>
            <w:tcW w:w="1071" w:type="dxa"/>
            <w:vMerge/>
            <w:vAlign w:val="center"/>
          </w:tcPr>
          <w:p>
            <w:pPr>
              <w:jc w:val="center"/>
              <w:rPr>
                <w:rFonts w:ascii="Times New Roman" w:hAnsi="Times New Roman" w:cs="Times New Roman"/>
                <w:b/>
                <w:bCs/>
                <w:sz w:val="18"/>
                <w:szCs w:val="18"/>
                <w:lang w:val="en-GB"/>
              </w:rPr>
            </w:pPr>
          </w:p>
        </w:tc>
        <w:tc>
          <w:tcPr>
            <w:tcW w:w="838" w:type="dxa"/>
            <w:vMerge/>
            <w:vAlign w:val="center"/>
          </w:tcPr>
          <w:p>
            <w:pPr>
              <w:jc w:val="center"/>
              <w:rPr>
                <w:rFonts w:ascii="Times New Roman" w:hAnsi="Times New Roman" w:cs="Times New Roman"/>
                <w:b/>
                <w:bCs/>
                <w:sz w:val="18"/>
                <w:szCs w:val="18"/>
                <w:lang w:val="en-GB"/>
              </w:rPr>
            </w:pPr>
          </w:p>
        </w:tc>
        <w:tc>
          <w:tcPr>
            <w:tcW w:w="619" w:type="dxa"/>
            <w:vMerge/>
            <w:vAlign w:val="center"/>
          </w:tcPr>
          <w:p>
            <w:pPr>
              <w:jc w:val="center"/>
              <w:rPr>
                <w:rFonts w:ascii="Times New Roman" w:hAnsi="Times New Roman" w:cs="Times New Roman"/>
                <w:b/>
                <w:bCs/>
                <w:sz w:val="18"/>
                <w:szCs w:val="18"/>
                <w:lang w:val="en-GB"/>
              </w:rPr>
            </w:pPr>
          </w:p>
        </w:tc>
        <w:tc>
          <w:tcPr>
            <w:tcW w:w="630" w:type="dxa"/>
            <w:vMerge/>
            <w:vAlign w:val="center"/>
          </w:tcPr>
          <w:p>
            <w:pPr>
              <w:jc w:val="center"/>
              <w:rPr>
                <w:rFonts w:ascii="Times New Roman" w:hAnsi="Times New Roman" w:cs="Times New Roman"/>
                <w:b/>
                <w:bCs/>
                <w:sz w:val="18"/>
                <w:szCs w:val="18"/>
                <w:lang w:val="en-GB"/>
              </w:rPr>
            </w:pPr>
          </w:p>
        </w:tc>
        <w:tc>
          <w:tcPr>
            <w:tcW w:w="630" w:type="dxa"/>
            <w:vMerge/>
            <w:vAlign w:val="center"/>
          </w:tcPr>
          <w:p>
            <w:pPr>
              <w:jc w:val="center"/>
              <w:rPr>
                <w:rFonts w:ascii="Times New Roman" w:hAnsi="Times New Roman" w:cs="Times New Roman"/>
                <w:b/>
                <w:bCs/>
                <w:sz w:val="18"/>
                <w:szCs w:val="18"/>
                <w:lang w:val="en-GB"/>
              </w:rPr>
            </w:pPr>
          </w:p>
        </w:tc>
        <w:tc>
          <w:tcPr>
            <w:tcW w:w="565" w:type="dxa"/>
            <w:vMerge/>
            <w:vAlign w:val="center"/>
          </w:tcPr>
          <w:p>
            <w:pPr>
              <w:jc w:val="center"/>
              <w:rPr>
                <w:rFonts w:ascii="Times New Roman" w:hAnsi="Times New Roman" w:cs="Times New Roman"/>
                <w:b/>
                <w:bCs/>
                <w:sz w:val="18"/>
                <w:szCs w:val="18"/>
                <w:lang w:val="en-GB"/>
              </w:rPr>
            </w:pPr>
          </w:p>
        </w:tc>
        <w:tc>
          <w:tcPr>
            <w:tcW w:w="571" w:type="dxa"/>
            <w:vAlign w:val="center"/>
          </w:tcPr>
          <w:p>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O/C</w:t>
            </w:r>
          </w:p>
        </w:tc>
        <w:tc>
          <w:tcPr>
            <w:tcW w:w="571" w:type="dxa"/>
            <w:vAlign w:val="center"/>
          </w:tcPr>
          <w:p>
            <w:pPr>
              <w:jc w:val="center"/>
              <w:rPr>
                <w:rFonts w:ascii="Times New Roman" w:hAnsi="Times New Roman" w:cs="Times New Roman"/>
                <w:b/>
                <w:bCs/>
                <w:sz w:val="18"/>
                <w:szCs w:val="18"/>
                <w:lang w:val="en-GB"/>
              </w:rPr>
            </w:pPr>
            <w:r>
              <w:rPr>
                <w:rFonts w:ascii="Times New Roman" w:hAnsi="Times New Roman" w:cs="Times New Roman"/>
                <w:b/>
                <w:bCs/>
                <w:sz w:val="18"/>
                <w:szCs w:val="18"/>
                <w:lang w:val="en-GB"/>
              </w:rPr>
              <w:t>H/C</w:t>
            </w:r>
          </w:p>
        </w:tc>
        <w:tc>
          <w:tcPr>
            <w:tcW w:w="565" w:type="dxa"/>
            <w:vMerge/>
            <w:vAlign w:val="center"/>
          </w:tcPr>
          <w:p>
            <w:pPr>
              <w:jc w:val="center"/>
              <w:rPr>
                <w:rFonts w:ascii="Times New Roman" w:hAnsi="Times New Roman" w:cs="Times New Roman"/>
                <w:b/>
                <w:bCs/>
                <w:sz w:val="18"/>
                <w:szCs w:val="18"/>
                <w:lang w:val="en-GB"/>
              </w:rPr>
            </w:pPr>
          </w:p>
        </w:tc>
        <w:tc>
          <w:tcPr>
            <w:tcW w:w="664" w:type="dxa"/>
            <w:vMerge/>
            <w:vAlign w:val="center"/>
          </w:tcPr>
          <w:p>
            <w:pPr>
              <w:jc w:val="center"/>
              <w:rPr>
                <w:rFonts w:ascii="Times New Roman" w:hAnsi="Times New Roman" w:cs="Times New Roman"/>
                <w:b/>
                <w:bCs/>
                <w:sz w:val="18"/>
                <w:szCs w:val="18"/>
                <w:lang w:val="en-GB"/>
              </w:rPr>
            </w:pPr>
          </w:p>
        </w:tc>
      </w:tr>
      <w:tr>
        <w:tc>
          <w:tcPr>
            <w:tcW w:w="156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WCPR</w:t>
            </w:r>
          </w:p>
        </w:tc>
        <w:tc>
          <w:tcPr>
            <w:tcW w:w="55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w:t>
            </w:r>
          </w:p>
        </w:tc>
        <w:tc>
          <w:tcPr>
            <w:tcW w:w="55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w:t>
            </w:r>
          </w:p>
        </w:tc>
        <w:tc>
          <w:tcPr>
            <w:tcW w:w="1257"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w:t>
            </w:r>
          </w:p>
        </w:tc>
        <w:tc>
          <w:tcPr>
            <w:tcW w:w="7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20.1</w:t>
            </w:r>
          </w:p>
        </w:tc>
        <w:tc>
          <w:tcPr>
            <w:tcW w:w="677"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w:t>
            </w:r>
          </w:p>
        </w:tc>
        <w:tc>
          <w:tcPr>
            <w:tcW w:w="8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w:t>
            </w:r>
          </w:p>
        </w:tc>
        <w:tc>
          <w:tcPr>
            <w:tcW w:w="10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w:t>
            </w:r>
          </w:p>
        </w:tc>
        <w:tc>
          <w:tcPr>
            <w:tcW w:w="838"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w:t>
            </w:r>
          </w:p>
        </w:tc>
        <w:tc>
          <w:tcPr>
            <w:tcW w:w="619"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w:t>
            </w:r>
          </w:p>
        </w:tc>
        <w:tc>
          <w:tcPr>
            <w:tcW w:w="63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w:t>
            </w:r>
          </w:p>
        </w:tc>
        <w:tc>
          <w:tcPr>
            <w:tcW w:w="63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w:t>
            </w:r>
          </w:p>
        </w:tc>
        <w:tc>
          <w:tcPr>
            <w:tcW w:w="565"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1.00</w:t>
            </w:r>
          </w:p>
        </w:tc>
        <w:tc>
          <w:tcPr>
            <w:tcW w:w="5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0.6</w:t>
            </w:r>
          </w:p>
        </w:tc>
        <w:tc>
          <w:tcPr>
            <w:tcW w:w="5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1.5</w:t>
            </w:r>
          </w:p>
        </w:tc>
        <w:tc>
          <w:tcPr>
            <w:tcW w:w="565" w:type="dxa"/>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1.00</w:t>
            </w:r>
          </w:p>
        </w:tc>
        <w:tc>
          <w:tcPr>
            <w:tcW w:w="664" w:type="dxa"/>
          </w:tcPr>
          <w:p>
            <w:pPr>
              <w:jc w:val="center"/>
              <w:rPr>
                <w:rFonts w:ascii="Times New Roman" w:hAnsi="Times New Roman" w:cs="Times New Roman"/>
                <w:sz w:val="18"/>
                <w:szCs w:val="18"/>
                <w:lang w:val="en-GB"/>
              </w:rPr>
            </w:pPr>
            <w:r>
              <w:rPr>
                <w:rFonts w:ascii="Times New Roman" w:hAnsi="Times New Roman" w:cs="Times New Roman"/>
                <w:iCs/>
                <w:sz w:val="18"/>
                <w:szCs w:val="18"/>
                <w:lang w:val="en-GB"/>
              </w:rPr>
              <w:t>–</w:t>
            </w:r>
          </w:p>
        </w:tc>
      </w:tr>
      <w:tr>
        <w:tc>
          <w:tcPr>
            <w:tcW w:w="156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WT_WCPR_220</w:t>
            </w:r>
          </w:p>
        </w:tc>
        <w:tc>
          <w:tcPr>
            <w:tcW w:w="55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220</w:t>
            </w:r>
          </w:p>
        </w:tc>
        <w:tc>
          <w:tcPr>
            <w:tcW w:w="55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60</w:t>
            </w:r>
          </w:p>
        </w:tc>
        <w:tc>
          <w:tcPr>
            <w:tcW w:w="1257" w:type="dxa"/>
            <w:vAlign w:val="center"/>
          </w:tcPr>
          <w:p>
            <w:pPr>
              <w:jc w:val="center"/>
              <w:rPr>
                <w:rFonts w:ascii="Times New Roman" w:eastAsia="Times New Roman" w:hAnsi="Times New Roman" w:cs="Times New Roman"/>
                <w:color w:val="000000"/>
                <w:sz w:val="18"/>
                <w:szCs w:val="18"/>
                <w:lang w:val="en-GB" w:eastAsia="sl-SI"/>
              </w:rPr>
            </w:pPr>
            <w:r>
              <w:rPr>
                <w:rFonts w:ascii="Times New Roman" w:eastAsia="Times New Roman" w:hAnsi="Times New Roman" w:cs="Times New Roman"/>
                <w:color w:val="000000"/>
                <w:sz w:val="18"/>
                <w:szCs w:val="18"/>
                <w:lang w:val="en-GB" w:eastAsia="sl-SI"/>
              </w:rPr>
              <w:t>10</w:t>
            </w:r>
          </w:p>
        </w:tc>
        <w:tc>
          <w:tcPr>
            <w:tcW w:w="7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22.3</w:t>
            </w:r>
          </w:p>
        </w:tc>
        <w:tc>
          <w:tcPr>
            <w:tcW w:w="677"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60.0</w:t>
            </w:r>
          </w:p>
        </w:tc>
        <w:tc>
          <w:tcPr>
            <w:tcW w:w="8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68.8</w:t>
            </w:r>
          </w:p>
        </w:tc>
        <w:tc>
          <w:tcPr>
            <w:tcW w:w="10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53.2</w:t>
            </w:r>
          </w:p>
        </w:tc>
        <w:tc>
          <w:tcPr>
            <w:tcW w:w="838"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66.4</w:t>
            </w:r>
          </w:p>
        </w:tc>
        <w:tc>
          <w:tcPr>
            <w:tcW w:w="619"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31.2</w:t>
            </w:r>
          </w:p>
        </w:tc>
        <w:tc>
          <w:tcPr>
            <w:tcW w:w="63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41.1</w:t>
            </w:r>
          </w:p>
        </w:tc>
        <w:tc>
          <w:tcPr>
            <w:tcW w:w="63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43.2</w:t>
            </w:r>
          </w:p>
        </w:tc>
        <w:tc>
          <w:tcPr>
            <w:tcW w:w="565"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1.11</w:t>
            </w:r>
          </w:p>
        </w:tc>
        <w:tc>
          <w:tcPr>
            <w:tcW w:w="5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0.5</w:t>
            </w:r>
          </w:p>
        </w:tc>
        <w:tc>
          <w:tcPr>
            <w:tcW w:w="5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1.2</w:t>
            </w:r>
          </w:p>
        </w:tc>
        <w:tc>
          <w:tcPr>
            <w:tcW w:w="565" w:type="dxa"/>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1.15</w:t>
            </w:r>
          </w:p>
        </w:tc>
        <w:tc>
          <w:tcPr>
            <w:tcW w:w="664" w:type="dxa"/>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40.0</w:t>
            </w:r>
          </w:p>
        </w:tc>
      </w:tr>
      <w:tr>
        <w:tc>
          <w:tcPr>
            <w:tcW w:w="156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WT+ZSM-5</w:t>
            </w:r>
          </w:p>
        </w:tc>
        <w:tc>
          <w:tcPr>
            <w:tcW w:w="55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220</w:t>
            </w:r>
          </w:p>
        </w:tc>
        <w:tc>
          <w:tcPr>
            <w:tcW w:w="55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60</w:t>
            </w:r>
          </w:p>
        </w:tc>
        <w:tc>
          <w:tcPr>
            <w:tcW w:w="1257" w:type="dxa"/>
            <w:vAlign w:val="center"/>
          </w:tcPr>
          <w:p>
            <w:pPr>
              <w:jc w:val="center"/>
              <w:rPr>
                <w:rFonts w:ascii="Times New Roman" w:hAnsi="Times New Roman" w:cs="Times New Roman"/>
                <w:sz w:val="18"/>
                <w:szCs w:val="18"/>
                <w:lang w:val="en-GB"/>
              </w:rPr>
            </w:pPr>
            <w:r>
              <w:rPr>
                <w:rFonts w:ascii="Times New Roman" w:eastAsia="Times New Roman" w:hAnsi="Times New Roman" w:cs="Times New Roman"/>
                <w:color w:val="000000"/>
                <w:sz w:val="18"/>
                <w:szCs w:val="18"/>
                <w:lang w:val="en-GB" w:eastAsia="sl-SI"/>
              </w:rPr>
              <w:t>10</w:t>
            </w:r>
          </w:p>
        </w:tc>
        <w:tc>
          <w:tcPr>
            <w:tcW w:w="7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27.0</w:t>
            </w:r>
          </w:p>
        </w:tc>
        <w:tc>
          <w:tcPr>
            <w:tcW w:w="677"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31.9</w:t>
            </w:r>
          </w:p>
        </w:tc>
        <w:tc>
          <w:tcPr>
            <w:tcW w:w="8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47.9</w:t>
            </w:r>
          </w:p>
        </w:tc>
        <w:tc>
          <w:tcPr>
            <w:tcW w:w="10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15.7</w:t>
            </w:r>
          </w:p>
        </w:tc>
        <w:tc>
          <w:tcPr>
            <w:tcW w:w="838"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42.8</w:t>
            </w:r>
          </w:p>
        </w:tc>
        <w:tc>
          <w:tcPr>
            <w:tcW w:w="619"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52.1</w:t>
            </w:r>
          </w:p>
        </w:tc>
        <w:tc>
          <w:tcPr>
            <w:tcW w:w="63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78.9</w:t>
            </w:r>
          </w:p>
        </w:tc>
        <w:tc>
          <w:tcPr>
            <w:tcW w:w="63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79.9</w:t>
            </w:r>
          </w:p>
        </w:tc>
        <w:tc>
          <w:tcPr>
            <w:tcW w:w="565"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1.34</w:t>
            </w:r>
          </w:p>
        </w:tc>
        <w:tc>
          <w:tcPr>
            <w:tcW w:w="5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0.2</w:t>
            </w:r>
          </w:p>
        </w:tc>
        <w:tc>
          <w:tcPr>
            <w:tcW w:w="5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0.5</w:t>
            </w:r>
          </w:p>
        </w:tc>
        <w:tc>
          <w:tcPr>
            <w:tcW w:w="565" w:type="dxa"/>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1.50</w:t>
            </w:r>
          </w:p>
        </w:tc>
        <w:tc>
          <w:tcPr>
            <w:tcW w:w="664" w:type="dxa"/>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68.1</w:t>
            </w:r>
          </w:p>
        </w:tc>
      </w:tr>
      <w:tr>
        <w:tc>
          <w:tcPr>
            <w:tcW w:w="1560" w:type="dxa"/>
            <w:vAlign w:val="center"/>
          </w:tcPr>
          <w:p>
            <w:pPr>
              <w:jc w:val="center"/>
              <w:rPr>
                <w:rFonts w:ascii="Times New Roman" w:hAnsi="Times New Roman" w:cs="Times New Roman"/>
                <w:sz w:val="18"/>
                <w:szCs w:val="18"/>
                <w:lang w:val="en-GB"/>
              </w:rPr>
            </w:pPr>
            <w:proofErr w:type="spellStart"/>
            <w:r>
              <w:rPr>
                <w:rFonts w:ascii="Times New Roman" w:hAnsi="Times New Roman" w:cs="Times New Roman"/>
                <w:sz w:val="18"/>
                <w:szCs w:val="18"/>
                <w:lang w:val="en-GB"/>
              </w:rPr>
              <w:t>WT+Beta</w:t>
            </w:r>
            <w:proofErr w:type="spellEnd"/>
          </w:p>
        </w:tc>
        <w:tc>
          <w:tcPr>
            <w:tcW w:w="55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220</w:t>
            </w:r>
          </w:p>
        </w:tc>
        <w:tc>
          <w:tcPr>
            <w:tcW w:w="55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60</w:t>
            </w:r>
          </w:p>
        </w:tc>
        <w:tc>
          <w:tcPr>
            <w:tcW w:w="1257"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10</w:t>
            </w:r>
          </w:p>
        </w:tc>
        <w:tc>
          <w:tcPr>
            <w:tcW w:w="7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27.0</w:t>
            </w:r>
          </w:p>
        </w:tc>
        <w:tc>
          <w:tcPr>
            <w:tcW w:w="677"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30.5</w:t>
            </w:r>
          </w:p>
        </w:tc>
        <w:tc>
          <w:tcPr>
            <w:tcW w:w="8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45.4</w:t>
            </w:r>
          </w:p>
        </w:tc>
        <w:tc>
          <w:tcPr>
            <w:tcW w:w="10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15.3</w:t>
            </w:r>
          </w:p>
        </w:tc>
        <w:tc>
          <w:tcPr>
            <w:tcW w:w="838"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41.0</w:t>
            </w:r>
          </w:p>
        </w:tc>
        <w:tc>
          <w:tcPr>
            <w:tcW w:w="619"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54.6</w:t>
            </w:r>
          </w:p>
        </w:tc>
        <w:tc>
          <w:tcPr>
            <w:tcW w:w="63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79.5</w:t>
            </w:r>
          </w:p>
        </w:tc>
        <w:tc>
          <w:tcPr>
            <w:tcW w:w="63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82.8</w:t>
            </w:r>
          </w:p>
        </w:tc>
        <w:tc>
          <w:tcPr>
            <w:tcW w:w="565"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1.34</w:t>
            </w:r>
          </w:p>
        </w:tc>
        <w:tc>
          <w:tcPr>
            <w:tcW w:w="5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0.2</w:t>
            </w:r>
          </w:p>
        </w:tc>
        <w:tc>
          <w:tcPr>
            <w:tcW w:w="5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0.5</w:t>
            </w:r>
          </w:p>
        </w:tc>
        <w:tc>
          <w:tcPr>
            <w:tcW w:w="565" w:type="dxa"/>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1.49</w:t>
            </w:r>
          </w:p>
        </w:tc>
        <w:tc>
          <w:tcPr>
            <w:tcW w:w="664" w:type="dxa"/>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69.5</w:t>
            </w:r>
          </w:p>
        </w:tc>
      </w:tr>
      <w:tr>
        <w:tc>
          <w:tcPr>
            <w:tcW w:w="156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WT+Y</w:t>
            </w:r>
          </w:p>
        </w:tc>
        <w:tc>
          <w:tcPr>
            <w:tcW w:w="55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220</w:t>
            </w:r>
          </w:p>
        </w:tc>
        <w:tc>
          <w:tcPr>
            <w:tcW w:w="55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60</w:t>
            </w:r>
          </w:p>
        </w:tc>
        <w:tc>
          <w:tcPr>
            <w:tcW w:w="1257" w:type="dxa"/>
            <w:vAlign w:val="center"/>
          </w:tcPr>
          <w:p>
            <w:pPr>
              <w:jc w:val="center"/>
              <w:rPr>
                <w:rFonts w:ascii="Times New Roman" w:hAnsi="Times New Roman" w:cs="Times New Roman"/>
                <w:sz w:val="18"/>
                <w:szCs w:val="18"/>
                <w:lang w:val="en-GB"/>
              </w:rPr>
            </w:pPr>
            <w:r>
              <w:rPr>
                <w:rFonts w:ascii="Times New Roman" w:eastAsia="Times New Roman" w:hAnsi="Times New Roman" w:cs="Times New Roman"/>
                <w:color w:val="000000"/>
                <w:sz w:val="18"/>
                <w:szCs w:val="18"/>
                <w:lang w:val="en-GB" w:eastAsia="sl-SI"/>
              </w:rPr>
              <w:t>10</w:t>
            </w:r>
          </w:p>
        </w:tc>
        <w:tc>
          <w:tcPr>
            <w:tcW w:w="7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25.6</w:t>
            </w:r>
          </w:p>
        </w:tc>
        <w:tc>
          <w:tcPr>
            <w:tcW w:w="677"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35.0</w:t>
            </w:r>
          </w:p>
        </w:tc>
        <w:tc>
          <w:tcPr>
            <w:tcW w:w="8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47.5</w:t>
            </w:r>
          </w:p>
        </w:tc>
        <w:tc>
          <w:tcPr>
            <w:tcW w:w="10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22.8</w:t>
            </w:r>
          </w:p>
        </w:tc>
        <w:tc>
          <w:tcPr>
            <w:tcW w:w="838"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44.6</w:t>
            </w:r>
          </w:p>
        </w:tc>
        <w:tc>
          <w:tcPr>
            <w:tcW w:w="619"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52.5</w:t>
            </w:r>
          </w:p>
        </w:tc>
        <w:tc>
          <w:tcPr>
            <w:tcW w:w="63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71.0</w:t>
            </w:r>
          </w:p>
        </w:tc>
        <w:tc>
          <w:tcPr>
            <w:tcW w:w="63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78.7</w:t>
            </w:r>
          </w:p>
        </w:tc>
        <w:tc>
          <w:tcPr>
            <w:tcW w:w="565"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1.28</w:t>
            </w:r>
          </w:p>
        </w:tc>
        <w:tc>
          <w:tcPr>
            <w:tcW w:w="5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0.2</w:t>
            </w:r>
          </w:p>
        </w:tc>
        <w:tc>
          <w:tcPr>
            <w:tcW w:w="5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0.7</w:t>
            </w:r>
          </w:p>
        </w:tc>
        <w:tc>
          <w:tcPr>
            <w:tcW w:w="565" w:type="dxa"/>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1.36</w:t>
            </w:r>
          </w:p>
        </w:tc>
        <w:tc>
          <w:tcPr>
            <w:tcW w:w="664" w:type="dxa"/>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65.0</w:t>
            </w:r>
          </w:p>
        </w:tc>
      </w:tr>
      <w:tr>
        <w:tc>
          <w:tcPr>
            <w:tcW w:w="156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WT+USY</w:t>
            </w:r>
          </w:p>
        </w:tc>
        <w:tc>
          <w:tcPr>
            <w:tcW w:w="55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220</w:t>
            </w:r>
          </w:p>
        </w:tc>
        <w:tc>
          <w:tcPr>
            <w:tcW w:w="55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60</w:t>
            </w:r>
          </w:p>
        </w:tc>
        <w:tc>
          <w:tcPr>
            <w:tcW w:w="1257"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10</w:t>
            </w:r>
          </w:p>
        </w:tc>
        <w:tc>
          <w:tcPr>
            <w:tcW w:w="7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26.7</w:t>
            </w:r>
          </w:p>
        </w:tc>
        <w:tc>
          <w:tcPr>
            <w:tcW w:w="677"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32.9</w:t>
            </w:r>
          </w:p>
        </w:tc>
        <w:tc>
          <w:tcPr>
            <w:tcW w:w="8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47.7</w:t>
            </w:r>
          </w:p>
        </w:tc>
        <w:tc>
          <w:tcPr>
            <w:tcW w:w="10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18.1</w:t>
            </w:r>
          </w:p>
        </w:tc>
        <w:tc>
          <w:tcPr>
            <w:tcW w:w="838"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43.7</w:t>
            </w:r>
          </w:p>
        </w:tc>
        <w:tc>
          <w:tcPr>
            <w:tcW w:w="619"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52.3</w:t>
            </w:r>
          </w:p>
        </w:tc>
        <w:tc>
          <w:tcPr>
            <w:tcW w:w="63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76.0</w:t>
            </w:r>
          </w:p>
        </w:tc>
        <w:tc>
          <w:tcPr>
            <w:tcW w:w="630"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81.3</w:t>
            </w:r>
          </w:p>
        </w:tc>
        <w:tc>
          <w:tcPr>
            <w:tcW w:w="565"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1.33</w:t>
            </w:r>
          </w:p>
        </w:tc>
        <w:tc>
          <w:tcPr>
            <w:tcW w:w="5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0.2</w:t>
            </w:r>
          </w:p>
        </w:tc>
        <w:tc>
          <w:tcPr>
            <w:tcW w:w="571" w:type="dxa"/>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0.6</w:t>
            </w:r>
          </w:p>
        </w:tc>
        <w:tc>
          <w:tcPr>
            <w:tcW w:w="565" w:type="dxa"/>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1.45</w:t>
            </w:r>
          </w:p>
        </w:tc>
        <w:tc>
          <w:tcPr>
            <w:tcW w:w="664" w:type="dxa"/>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67.1</w:t>
            </w:r>
          </w:p>
        </w:tc>
      </w:tr>
      <w:tr>
        <w:tc>
          <w:tcPr>
            <w:tcW w:w="1560" w:type="dxa"/>
            <w:tcBorders>
              <w:bottom w:val="single" w:sz="4" w:space="0" w:color="auto"/>
            </w:tcBorders>
            <w:vAlign w:val="center"/>
          </w:tcPr>
          <w:p>
            <w:pPr>
              <w:jc w:val="center"/>
              <w:rPr>
                <w:rFonts w:ascii="Times New Roman" w:hAnsi="Times New Roman" w:cs="Times New Roman"/>
                <w:sz w:val="18"/>
                <w:szCs w:val="18"/>
                <w:lang w:val="en-GB"/>
              </w:rPr>
            </w:pPr>
            <w:proofErr w:type="spellStart"/>
            <w:r>
              <w:rPr>
                <w:rFonts w:ascii="Times New Roman" w:hAnsi="Times New Roman" w:cs="Times New Roman"/>
                <w:sz w:val="18"/>
                <w:szCs w:val="18"/>
                <w:lang w:val="en-GB"/>
              </w:rPr>
              <w:t>WT+Mordenite</w:t>
            </w:r>
            <w:proofErr w:type="spellEnd"/>
          </w:p>
        </w:tc>
        <w:tc>
          <w:tcPr>
            <w:tcW w:w="550" w:type="dxa"/>
            <w:tcBorders>
              <w:bottom w:val="single" w:sz="4" w:space="0" w:color="auto"/>
            </w:tcBorders>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220</w:t>
            </w:r>
          </w:p>
        </w:tc>
        <w:tc>
          <w:tcPr>
            <w:tcW w:w="550" w:type="dxa"/>
            <w:tcBorders>
              <w:bottom w:val="single" w:sz="4" w:space="0" w:color="auto"/>
            </w:tcBorders>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60</w:t>
            </w:r>
          </w:p>
        </w:tc>
        <w:tc>
          <w:tcPr>
            <w:tcW w:w="1257" w:type="dxa"/>
            <w:tcBorders>
              <w:bottom w:val="single" w:sz="4" w:space="0" w:color="auto"/>
            </w:tcBorders>
            <w:vAlign w:val="center"/>
          </w:tcPr>
          <w:p>
            <w:pPr>
              <w:jc w:val="center"/>
              <w:rPr>
                <w:rFonts w:ascii="Times New Roman" w:hAnsi="Times New Roman" w:cs="Times New Roman"/>
                <w:sz w:val="18"/>
                <w:szCs w:val="18"/>
                <w:lang w:val="en-GB"/>
              </w:rPr>
            </w:pPr>
            <w:r>
              <w:rPr>
                <w:rFonts w:ascii="Times New Roman" w:eastAsia="Times New Roman" w:hAnsi="Times New Roman" w:cs="Times New Roman"/>
                <w:color w:val="000000"/>
                <w:sz w:val="18"/>
                <w:szCs w:val="18"/>
                <w:lang w:val="en-GB" w:eastAsia="sl-SI"/>
              </w:rPr>
              <w:t>10</w:t>
            </w:r>
          </w:p>
        </w:tc>
        <w:tc>
          <w:tcPr>
            <w:tcW w:w="771" w:type="dxa"/>
            <w:tcBorders>
              <w:bottom w:val="single" w:sz="4" w:space="0" w:color="auto"/>
            </w:tcBorders>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27.3</w:t>
            </w:r>
          </w:p>
        </w:tc>
        <w:tc>
          <w:tcPr>
            <w:tcW w:w="677" w:type="dxa"/>
            <w:tcBorders>
              <w:bottom w:val="single" w:sz="4" w:space="0" w:color="auto"/>
            </w:tcBorders>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32.0</w:t>
            </w:r>
          </w:p>
        </w:tc>
        <w:tc>
          <w:tcPr>
            <w:tcW w:w="871" w:type="dxa"/>
            <w:tcBorders>
              <w:bottom w:val="single" w:sz="4" w:space="0" w:color="auto"/>
            </w:tcBorders>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47.3</w:t>
            </w:r>
          </w:p>
        </w:tc>
        <w:tc>
          <w:tcPr>
            <w:tcW w:w="1071" w:type="dxa"/>
            <w:tcBorders>
              <w:bottom w:val="single" w:sz="4" w:space="0" w:color="auto"/>
            </w:tcBorders>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17.4</w:t>
            </w:r>
          </w:p>
        </w:tc>
        <w:tc>
          <w:tcPr>
            <w:tcW w:w="838" w:type="dxa"/>
            <w:tcBorders>
              <w:bottom w:val="single" w:sz="4" w:space="0" w:color="auto"/>
            </w:tcBorders>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43.4</w:t>
            </w:r>
          </w:p>
        </w:tc>
        <w:tc>
          <w:tcPr>
            <w:tcW w:w="619" w:type="dxa"/>
            <w:tcBorders>
              <w:bottom w:val="single" w:sz="4" w:space="0" w:color="auto"/>
            </w:tcBorders>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52.7</w:t>
            </w:r>
          </w:p>
        </w:tc>
        <w:tc>
          <w:tcPr>
            <w:tcW w:w="630" w:type="dxa"/>
            <w:tcBorders>
              <w:bottom w:val="single" w:sz="4" w:space="0" w:color="auto"/>
            </w:tcBorders>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76.4</w:t>
            </w:r>
          </w:p>
        </w:tc>
        <w:tc>
          <w:tcPr>
            <w:tcW w:w="630" w:type="dxa"/>
            <w:tcBorders>
              <w:bottom w:val="single" w:sz="4" w:space="0" w:color="auto"/>
            </w:tcBorders>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82.9</w:t>
            </w:r>
          </w:p>
        </w:tc>
        <w:tc>
          <w:tcPr>
            <w:tcW w:w="565" w:type="dxa"/>
            <w:tcBorders>
              <w:bottom w:val="single" w:sz="4" w:space="0" w:color="auto"/>
            </w:tcBorders>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1.36</w:t>
            </w:r>
          </w:p>
        </w:tc>
        <w:tc>
          <w:tcPr>
            <w:tcW w:w="571" w:type="dxa"/>
            <w:tcBorders>
              <w:bottom w:val="single" w:sz="4" w:space="0" w:color="auto"/>
            </w:tcBorders>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0.2</w:t>
            </w:r>
          </w:p>
        </w:tc>
        <w:tc>
          <w:tcPr>
            <w:tcW w:w="571" w:type="dxa"/>
            <w:tcBorders>
              <w:bottom w:val="single" w:sz="4" w:space="0" w:color="auto"/>
            </w:tcBorders>
            <w:vAlign w:val="center"/>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0.6</w:t>
            </w:r>
          </w:p>
        </w:tc>
        <w:tc>
          <w:tcPr>
            <w:tcW w:w="565" w:type="dxa"/>
            <w:tcBorders>
              <w:bottom w:val="single" w:sz="4" w:space="0" w:color="auto"/>
            </w:tcBorders>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1.48</w:t>
            </w:r>
          </w:p>
        </w:tc>
        <w:tc>
          <w:tcPr>
            <w:tcW w:w="664" w:type="dxa"/>
            <w:tcBorders>
              <w:bottom w:val="single" w:sz="4" w:space="0" w:color="auto"/>
            </w:tcBorders>
          </w:tcPr>
          <w:p>
            <w:pPr>
              <w:jc w:val="center"/>
              <w:rPr>
                <w:rFonts w:ascii="Times New Roman" w:hAnsi="Times New Roman" w:cs="Times New Roman"/>
                <w:sz w:val="18"/>
                <w:szCs w:val="18"/>
                <w:lang w:val="en-GB"/>
              </w:rPr>
            </w:pPr>
            <w:r>
              <w:rPr>
                <w:rFonts w:ascii="Times New Roman" w:hAnsi="Times New Roman" w:cs="Times New Roman"/>
                <w:sz w:val="18"/>
                <w:szCs w:val="18"/>
                <w:lang w:val="en-GB"/>
              </w:rPr>
              <w:t>68.0</w:t>
            </w:r>
          </w:p>
        </w:tc>
      </w:tr>
    </w:tbl>
    <w:bookmarkEnd w:id="3"/>
    <w:p>
      <w:pPr>
        <w:spacing w:after="0" w:line="240" w:lineRule="auto"/>
        <w:jc w:val="both"/>
        <w:rPr>
          <w:rFonts w:ascii="Times New Roman" w:hAnsi="Times New Roman" w:cs="Times New Roman"/>
          <w:iCs/>
          <w:sz w:val="20"/>
          <w:szCs w:val="20"/>
          <w:lang w:val="en-GB"/>
        </w:rPr>
      </w:pPr>
      <w:r>
        <w:rPr>
          <w:rFonts w:ascii="Times New Roman" w:hAnsi="Times New Roman" w:cs="Times New Roman"/>
          <w:iCs/>
          <w:sz w:val="20"/>
          <w:szCs w:val="20"/>
          <w:vertAlign w:val="superscript"/>
          <w:lang w:val="en-GB"/>
        </w:rPr>
        <w:t>1</w:t>
      </w:r>
      <w:r>
        <w:rPr>
          <w:rFonts w:ascii="Times New Roman" w:hAnsi="Times New Roman" w:cs="Times New Roman"/>
          <w:iCs/>
          <w:sz w:val="20"/>
          <w:szCs w:val="20"/>
          <w:lang w:val="en-GB"/>
        </w:rPr>
        <w:t xml:space="preserve">DC – decarbonization, </w:t>
      </w:r>
      <w:r>
        <w:rPr>
          <w:rFonts w:ascii="Times New Roman" w:hAnsi="Times New Roman" w:cs="Times New Roman"/>
          <w:iCs/>
          <w:sz w:val="20"/>
          <w:szCs w:val="20"/>
          <w:vertAlign w:val="superscript"/>
          <w:lang w:val="en-GB"/>
        </w:rPr>
        <w:t>2</w:t>
      </w:r>
      <w:r>
        <w:rPr>
          <w:rFonts w:ascii="Times New Roman" w:hAnsi="Times New Roman" w:cs="Times New Roman"/>
          <w:iCs/>
          <w:sz w:val="20"/>
          <w:szCs w:val="20"/>
          <w:lang w:val="en-GB"/>
        </w:rPr>
        <w:t xml:space="preserve">DH – dehydrogenation, </w:t>
      </w:r>
      <w:r>
        <w:rPr>
          <w:rFonts w:ascii="Times New Roman" w:hAnsi="Times New Roman" w:cs="Times New Roman"/>
          <w:iCs/>
          <w:sz w:val="20"/>
          <w:szCs w:val="20"/>
          <w:vertAlign w:val="superscript"/>
          <w:lang w:val="en-GB"/>
        </w:rPr>
        <w:t>3</w:t>
      </w:r>
      <w:r>
        <w:rPr>
          <w:rFonts w:ascii="Times New Roman" w:hAnsi="Times New Roman" w:cs="Times New Roman"/>
          <w:iCs/>
          <w:sz w:val="20"/>
          <w:szCs w:val="20"/>
          <w:lang w:val="en-GB"/>
        </w:rPr>
        <w:t xml:space="preserve">DO – deoxygenation, </w:t>
      </w:r>
      <w:r>
        <w:rPr>
          <w:rFonts w:ascii="Times New Roman" w:hAnsi="Times New Roman" w:cs="Times New Roman"/>
          <w:iCs/>
          <w:sz w:val="20"/>
          <w:szCs w:val="20"/>
          <w:vertAlign w:val="superscript"/>
          <w:lang w:val="en-GB"/>
        </w:rPr>
        <w:t>4</w:t>
      </w:r>
      <w:r>
        <w:rPr>
          <w:rFonts w:ascii="Times New Roman" w:hAnsi="Times New Roman" w:cs="Times New Roman"/>
          <w:iCs/>
          <w:sz w:val="20"/>
          <w:szCs w:val="20"/>
          <w:lang w:val="en-GB"/>
        </w:rPr>
        <w:t xml:space="preserve">EF – enhancement factor, </w:t>
      </w:r>
      <w:r>
        <w:rPr>
          <w:rFonts w:ascii="Times New Roman" w:hAnsi="Times New Roman" w:cs="Times New Roman"/>
          <w:iCs/>
          <w:sz w:val="20"/>
          <w:szCs w:val="20"/>
          <w:vertAlign w:val="superscript"/>
          <w:lang w:val="en-GB"/>
        </w:rPr>
        <w:t>5</w:t>
      </w:r>
      <w:r>
        <w:rPr>
          <w:rFonts w:ascii="Times New Roman" w:hAnsi="Times New Roman" w:cs="Times New Roman"/>
          <w:iCs/>
          <w:sz w:val="20"/>
          <w:szCs w:val="20"/>
          <w:lang w:val="en-GB"/>
        </w:rPr>
        <w:t xml:space="preserve">CE – carbon enrichment, </w:t>
      </w:r>
      <w:r>
        <w:rPr>
          <w:rFonts w:ascii="Times New Roman" w:hAnsi="Times New Roman" w:cs="Times New Roman"/>
          <w:iCs/>
          <w:sz w:val="20"/>
          <w:szCs w:val="20"/>
          <w:vertAlign w:val="superscript"/>
          <w:lang w:val="en-GB"/>
        </w:rPr>
        <w:t>6</w:t>
      </w:r>
      <w:r>
        <w:rPr>
          <w:rFonts w:ascii="Times New Roman" w:hAnsi="Times New Roman" w:cs="Times New Roman"/>
          <w:iCs/>
          <w:sz w:val="20"/>
          <w:szCs w:val="20"/>
          <w:lang w:val="en-GB"/>
        </w:rPr>
        <w:t>WL – weight loss.</w:t>
      </w:r>
    </w:p>
    <w:p>
      <w:pPr>
        <w:spacing w:after="0" w:line="480" w:lineRule="auto"/>
        <w:jc w:val="both"/>
        <w:rPr>
          <w:rFonts w:ascii="Times New Roman" w:hAnsi="Times New Roman" w:cs="Times New Roman"/>
          <w:iCs/>
          <w:sz w:val="24"/>
          <w:szCs w:val="24"/>
          <w:lang w:val="en-GB"/>
        </w:rPr>
      </w:pPr>
      <w:bookmarkStart w:id="4" w:name="_Hlk135653091"/>
      <w:r>
        <w:rPr>
          <w:rFonts w:ascii="Times New Roman" w:hAnsi="Times New Roman" w:cs="Times New Roman"/>
          <w:b/>
          <w:bCs/>
          <w:iCs/>
          <w:sz w:val="24"/>
          <w:szCs w:val="24"/>
          <w:lang w:val="en-GB"/>
        </w:rPr>
        <w:lastRenderedPageBreak/>
        <w:t>Table S6</w:t>
      </w:r>
    </w:p>
    <w:p>
      <w:pPr>
        <w:spacing w:after="0" w:line="48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t xml:space="preserve">SEM-EDX analysis of the WCPR, WT_WCPR_220, and </w:t>
      </w:r>
      <w:proofErr w:type="spellStart"/>
      <w:r>
        <w:rPr>
          <w:rFonts w:ascii="Times New Roman" w:hAnsi="Times New Roman" w:cs="Times New Roman"/>
          <w:iCs/>
          <w:sz w:val="24"/>
          <w:szCs w:val="24"/>
          <w:lang w:val="en-GB"/>
        </w:rPr>
        <w:t>WT</w:t>
      </w:r>
      <w:bookmarkEnd w:id="4"/>
      <w:r>
        <w:rPr>
          <w:rFonts w:ascii="Times New Roman" w:hAnsi="Times New Roman" w:cs="Times New Roman"/>
          <w:iCs/>
          <w:sz w:val="24"/>
          <w:szCs w:val="24"/>
          <w:lang w:val="en-GB"/>
        </w:rPr>
        <w:t>+Beta</w:t>
      </w:r>
      <w:proofErr w:type="spellEnd"/>
      <w:r>
        <w:rPr>
          <w:rFonts w:ascii="Times New Roman" w:hAnsi="Times New Roman" w:cs="Times New Roman"/>
          <w:iCs/>
          <w:sz w:val="24"/>
          <w:szCs w:val="24"/>
          <w:lang w:val="en-GB"/>
        </w:rPr>
        <w:t xml:space="preserve"> samples.</w:t>
      </w:r>
    </w:p>
    <w:tbl>
      <w:tblPr>
        <w:tblStyle w:val="TableGrid"/>
        <w:tblW w:w="9021" w:type="dxa"/>
        <w:tblInd w:w="-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6"/>
        <w:gridCol w:w="2255"/>
        <w:gridCol w:w="2255"/>
        <w:gridCol w:w="2255"/>
      </w:tblGrid>
      <w:tr>
        <w:tc>
          <w:tcPr>
            <w:tcW w:w="9021" w:type="dxa"/>
            <w:gridSpan w:val="4"/>
            <w:vAlign w:val="center"/>
          </w:tcPr>
          <w:p>
            <w:pPr>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WCPR</w:t>
            </w:r>
          </w:p>
        </w:tc>
      </w:tr>
      <w:tr>
        <w:tc>
          <w:tcPr>
            <w:tcW w:w="2256" w:type="dxa"/>
            <w:vAlign w:val="center"/>
          </w:tcPr>
          <w:p>
            <w:pPr>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Element</w:t>
            </w:r>
          </w:p>
        </w:tc>
        <w:tc>
          <w:tcPr>
            <w:tcW w:w="2255" w:type="dxa"/>
            <w:vAlign w:val="center"/>
          </w:tcPr>
          <w:p>
            <w:pPr>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Scan 1 (</w:t>
            </w:r>
            <w:proofErr w:type="spellStart"/>
            <w:r>
              <w:rPr>
                <w:rFonts w:ascii="Times New Roman" w:hAnsi="Times New Roman" w:cs="Times New Roman"/>
                <w:b/>
                <w:bCs/>
                <w:sz w:val="24"/>
                <w:szCs w:val="24"/>
                <w:lang w:val="en-GB"/>
              </w:rPr>
              <w:t>wt</w:t>
            </w:r>
            <w:proofErr w:type="spellEnd"/>
            <w:r>
              <w:rPr>
                <w:rFonts w:ascii="Times New Roman" w:hAnsi="Times New Roman" w:cs="Times New Roman"/>
                <w:b/>
                <w:bCs/>
                <w:sz w:val="24"/>
                <w:szCs w:val="24"/>
                <w:lang w:val="en-GB"/>
              </w:rPr>
              <w:t>%)</w:t>
            </w:r>
          </w:p>
        </w:tc>
        <w:tc>
          <w:tcPr>
            <w:tcW w:w="2255" w:type="dxa"/>
            <w:vAlign w:val="center"/>
          </w:tcPr>
          <w:p>
            <w:pPr>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Scan 2 (</w:t>
            </w:r>
            <w:proofErr w:type="spellStart"/>
            <w:r>
              <w:rPr>
                <w:rFonts w:ascii="Times New Roman" w:hAnsi="Times New Roman" w:cs="Times New Roman"/>
                <w:b/>
                <w:bCs/>
                <w:sz w:val="24"/>
                <w:szCs w:val="24"/>
                <w:lang w:val="en-GB"/>
              </w:rPr>
              <w:t>wt</w:t>
            </w:r>
            <w:proofErr w:type="spellEnd"/>
            <w:r>
              <w:rPr>
                <w:rFonts w:ascii="Times New Roman" w:hAnsi="Times New Roman" w:cs="Times New Roman"/>
                <w:b/>
                <w:bCs/>
                <w:sz w:val="24"/>
                <w:szCs w:val="24"/>
                <w:lang w:val="en-GB"/>
              </w:rPr>
              <w:t>%)</w:t>
            </w:r>
          </w:p>
        </w:tc>
        <w:tc>
          <w:tcPr>
            <w:tcW w:w="2255" w:type="dxa"/>
            <w:vAlign w:val="center"/>
          </w:tcPr>
          <w:p>
            <w:pPr>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Scan 3 (</w:t>
            </w:r>
            <w:proofErr w:type="spellStart"/>
            <w:r>
              <w:rPr>
                <w:rFonts w:ascii="Times New Roman" w:hAnsi="Times New Roman" w:cs="Times New Roman"/>
                <w:b/>
                <w:bCs/>
                <w:sz w:val="24"/>
                <w:szCs w:val="24"/>
                <w:lang w:val="en-GB"/>
              </w:rPr>
              <w:t>wt</w:t>
            </w:r>
            <w:proofErr w:type="spellEnd"/>
            <w:r>
              <w:rPr>
                <w:rFonts w:ascii="Times New Roman" w:hAnsi="Times New Roman" w:cs="Times New Roman"/>
                <w:b/>
                <w:bCs/>
                <w:sz w:val="24"/>
                <w:szCs w:val="24"/>
                <w:lang w:val="en-GB"/>
              </w:rPr>
              <w:t>%)</w:t>
            </w:r>
          </w:p>
        </w:tc>
      </w:tr>
      <w:tr>
        <w:tc>
          <w:tcPr>
            <w:tcW w:w="2256"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C</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57.97</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58.57</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57.97</w:t>
            </w:r>
          </w:p>
        </w:tc>
      </w:tr>
      <w:tr>
        <w:tc>
          <w:tcPr>
            <w:tcW w:w="2256"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O</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41.69</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41.27</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41.85</w:t>
            </w:r>
          </w:p>
        </w:tc>
      </w:tr>
      <w:tr>
        <w:tc>
          <w:tcPr>
            <w:tcW w:w="2256"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Si</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0.06</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0.06</w:t>
            </w:r>
          </w:p>
        </w:tc>
      </w:tr>
      <w:tr>
        <w:tc>
          <w:tcPr>
            <w:tcW w:w="2256"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S</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0.14</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w:t>
            </w:r>
          </w:p>
        </w:tc>
      </w:tr>
      <w:tr>
        <w:tc>
          <w:tcPr>
            <w:tcW w:w="2256"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Ca</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0.13</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0.13</w:t>
            </w:r>
          </w:p>
        </w:tc>
      </w:tr>
      <w:tr>
        <w:tc>
          <w:tcPr>
            <w:tcW w:w="9021" w:type="dxa"/>
            <w:gridSpan w:val="4"/>
          </w:tcPr>
          <w:p>
            <w:pPr>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WT_WCPR_220 (220 °C after 30 min)</w:t>
            </w:r>
          </w:p>
        </w:tc>
      </w:tr>
      <w:tr>
        <w:tc>
          <w:tcPr>
            <w:tcW w:w="2256"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C</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59.42</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59.40</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58.75</w:t>
            </w:r>
          </w:p>
        </w:tc>
      </w:tr>
      <w:tr>
        <w:tc>
          <w:tcPr>
            <w:tcW w:w="2256"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O</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40.58</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40.60</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41.25</w:t>
            </w:r>
          </w:p>
        </w:tc>
      </w:tr>
      <w:tr>
        <w:tc>
          <w:tcPr>
            <w:tcW w:w="9021" w:type="dxa"/>
            <w:gridSpan w:val="4"/>
          </w:tcPr>
          <w:p>
            <w:pPr>
              <w:jc w:val="center"/>
              <w:rPr>
                <w:rFonts w:ascii="Times New Roman" w:hAnsi="Times New Roman" w:cs="Times New Roman"/>
                <w:b/>
                <w:bCs/>
                <w:sz w:val="24"/>
                <w:szCs w:val="24"/>
                <w:lang w:val="en-GB"/>
              </w:rPr>
            </w:pPr>
            <w:proofErr w:type="spellStart"/>
            <w:r>
              <w:rPr>
                <w:rFonts w:ascii="Times New Roman" w:hAnsi="Times New Roman" w:cs="Times New Roman"/>
                <w:b/>
                <w:bCs/>
                <w:sz w:val="24"/>
                <w:szCs w:val="24"/>
                <w:lang w:val="en-GB"/>
              </w:rPr>
              <w:t>WT+Beta</w:t>
            </w:r>
            <w:proofErr w:type="spellEnd"/>
            <w:r>
              <w:rPr>
                <w:rFonts w:ascii="Times New Roman" w:hAnsi="Times New Roman" w:cs="Times New Roman"/>
                <w:b/>
                <w:bCs/>
                <w:sz w:val="24"/>
                <w:szCs w:val="24"/>
                <w:lang w:val="en-GB"/>
              </w:rPr>
              <w:t xml:space="preserve"> (220 °C after 30 min)</w:t>
            </w:r>
          </w:p>
        </w:tc>
      </w:tr>
      <w:tr>
        <w:tc>
          <w:tcPr>
            <w:tcW w:w="2256"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C</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45.57</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45.15</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46.57</w:t>
            </w:r>
          </w:p>
        </w:tc>
      </w:tr>
      <w:tr>
        <w:tc>
          <w:tcPr>
            <w:tcW w:w="2256"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O</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45.45</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44.76</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43.72</w:t>
            </w:r>
          </w:p>
        </w:tc>
      </w:tr>
      <w:tr>
        <w:tc>
          <w:tcPr>
            <w:tcW w:w="2256"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Si</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8.23</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8.81</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8.90</w:t>
            </w:r>
          </w:p>
        </w:tc>
      </w:tr>
      <w:tr>
        <w:tc>
          <w:tcPr>
            <w:tcW w:w="2256"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Al</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0.69</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0.71</w:t>
            </w:r>
          </w:p>
        </w:tc>
        <w:tc>
          <w:tcPr>
            <w:tcW w:w="2255" w:type="dxa"/>
          </w:tcPr>
          <w:p>
            <w:pPr>
              <w:jc w:val="center"/>
              <w:rPr>
                <w:rFonts w:ascii="Times New Roman" w:hAnsi="Times New Roman" w:cs="Times New Roman"/>
                <w:sz w:val="24"/>
                <w:szCs w:val="24"/>
                <w:lang w:val="ru-RU"/>
              </w:rPr>
            </w:pPr>
            <w:r>
              <w:rPr>
                <w:rFonts w:ascii="Times New Roman" w:hAnsi="Times New Roman" w:cs="Times New Roman"/>
                <w:sz w:val="24"/>
                <w:szCs w:val="24"/>
                <w:lang w:val="ru-RU"/>
              </w:rPr>
              <w:t>0</w:t>
            </w:r>
            <w:r>
              <w:rPr>
                <w:rFonts w:ascii="Times New Roman" w:hAnsi="Times New Roman" w:cs="Times New Roman"/>
                <w:sz w:val="24"/>
                <w:szCs w:val="24"/>
                <w:lang w:val="en-GB"/>
              </w:rPr>
              <w:t>.</w:t>
            </w:r>
            <w:r>
              <w:rPr>
                <w:rFonts w:ascii="Times New Roman" w:hAnsi="Times New Roman" w:cs="Times New Roman"/>
                <w:sz w:val="24"/>
                <w:szCs w:val="24"/>
                <w:lang w:val="ru-RU"/>
              </w:rPr>
              <w:t>73</w:t>
            </w:r>
          </w:p>
        </w:tc>
      </w:tr>
      <w:tr>
        <w:tc>
          <w:tcPr>
            <w:tcW w:w="2256"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N</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0.56</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w:t>
            </w:r>
          </w:p>
        </w:tc>
      </w:tr>
      <w:tr>
        <w:tc>
          <w:tcPr>
            <w:tcW w:w="2256"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Ca</w:t>
            </w: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0.06</w:t>
            </w:r>
          </w:p>
        </w:tc>
        <w:tc>
          <w:tcPr>
            <w:tcW w:w="2255" w:type="dxa"/>
          </w:tcPr>
          <w:p>
            <w:pPr>
              <w:jc w:val="center"/>
              <w:rPr>
                <w:rFonts w:ascii="Times New Roman" w:hAnsi="Times New Roman" w:cs="Times New Roman"/>
                <w:sz w:val="24"/>
                <w:szCs w:val="24"/>
                <w:lang w:val="en-GB"/>
              </w:rPr>
            </w:pPr>
          </w:p>
        </w:tc>
        <w:tc>
          <w:tcPr>
            <w:tcW w:w="2255" w:type="dxa"/>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0.08</w:t>
            </w:r>
          </w:p>
        </w:tc>
      </w:tr>
    </w:tbl>
    <w:p>
      <w:pPr>
        <w:rPr>
          <w:rFonts w:ascii="Times New Roman" w:hAnsi="Times New Roman" w:cs="Times New Roman"/>
          <w:iCs/>
          <w:sz w:val="20"/>
          <w:szCs w:val="20"/>
          <w:lang w:val="en-GB"/>
        </w:rPr>
      </w:pPr>
      <w:r>
        <w:rPr>
          <w:rFonts w:ascii="Times New Roman" w:hAnsi="Times New Roman" w:cs="Times New Roman"/>
          <w:iCs/>
          <w:sz w:val="20"/>
          <w:szCs w:val="20"/>
          <w:lang w:val="en-GB"/>
        </w:rPr>
        <w:br w:type="page"/>
      </w:r>
    </w:p>
    <w:p>
      <w:pPr>
        <w:spacing w:after="0" w:line="240" w:lineRule="auto"/>
        <w:contextualSpacing/>
        <w:jc w:val="both"/>
        <w:rPr>
          <w:rFonts w:ascii="Times New Roman" w:hAnsi="Times New Roman" w:cs="Times New Roman"/>
          <w:b/>
          <w:bCs/>
          <w:sz w:val="20"/>
          <w:szCs w:val="20"/>
          <w:lang w:val="en-GB"/>
        </w:rPr>
      </w:pPr>
      <w:r>
        <w:rPr>
          <w:rFonts w:ascii="Times New Roman" w:hAnsi="Times New Roman" w:cs="Times New Roman"/>
          <w:b/>
          <w:bCs/>
          <w:sz w:val="20"/>
          <w:szCs w:val="20"/>
          <w:lang w:val="en-GB"/>
        </w:rPr>
        <w:lastRenderedPageBreak/>
        <w:t xml:space="preserve">Table S7. </w:t>
      </w:r>
      <w:r>
        <w:rPr>
          <w:rFonts w:ascii="Times New Roman" w:hAnsi="Times New Roman" w:cs="Times New Roman"/>
          <w:sz w:val="20"/>
          <w:szCs w:val="20"/>
          <w:lang w:val="en-GB"/>
        </w:rPr>
        <w:t>Comparison of higher heating value (HHV) and ultimate composition of biochar from different precursor biomass types following WT under optimal reaction conditions.</w:t>
      </w:r>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8"/>
        <w:gridCol w:w="674"/>
        <w:gridCol w:w="1094"/>
        <w:gridCol w:w="2555"/>
        <w:gridCol w:w="772"/>
        <w:gridCol w:w="566"/>
        <w:gridCol w:w="466"/>
        <w:gridCol w:w="566"/>
        <w:gridCol w:w="466"/>
        <w:gridCol w:w="679"/>
        <w:gridCol w:w="1111"/>
      </w:tblGrid>
      <w:tr>
        <w:trPr>
          <w:trHeight w:val="515"/>
          <w:jc w:val="center"/>
        </w:trPr>
        <w:tc>
          <w:tcPr>
            <w:tcW w:w="0" w:type="auto"/>
            <w:vMerge w:val="restart"/>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Biomass</w:t>
            </w:r>
          </w:p>
        </w:tc>
        <w:tc>
          <w:tcPr>
            <w:tcW w:w="0" w:type="auto"/>
            <w:vMerge w:val="restart"/>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T, °C</w:t>
            </w:r>
          </w:p>
        </w:tc>
        <w:tc>
          <w:tcPr>
            <w:tcW w:w="0" w:type="auto"/>
            <w:vMerge w:val="restart"/>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Time, min</w:t>
            </w:r>
          </w:p>
        </w:tc>
        <w:tc>
          <w:tcPr>
            <w:tcW w:w="0" w:type="auto"/>
            <w:vMerge w:val="restart"/>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 xml:space="preserve">Biomass-to-liquid ratio, </w:t>
            </w:r>
            <w:proofErr w:type="gramStart"/>
            <w:r>
              <w:rPr>
                <w:rFonts w:ascii="Times New Roman" w:hAnsi="Times New Roman" w:cs="Times New Roman"/>
                <w:b/>
                <w:bCs/>
                <w:sz w:val="20"/>
                <w:szCs w:val="20"/>
                <w:lang w:val="en-GB"/>
              </w:rPr>
              <w:t>g:g</w:t>
            </w:r>
            <w:proofErr w:type="gramEnd"/>
          </w:p>
        </w:tc>
        <w:tc>
          <w:tcPr>
            <w:tcW w:w="0" w:type="auto"/>
            <w:vMerge w:val="restart"/>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HHV,</w:t>
            </w:r>
          </w:p>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MJ/kg</w:t>
            </w:r>
          </w:p>
        </w:tc>
        <w:tc>
          <w:tcPr>
            <w:tcW w:w="0" w:type="auto"/>
            <w:gridSpan w:val="5"/>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Ultimate analysis (</w:t>
            </w:r>
            <w:proofErr w:type="spellStart"/>
            <w:r>
              <w:rPr>
                <w:rFonts w:ascii="Times New Roman" w:hAnsi="Times New Roman" w:cs="Times New Roman"/>
                <w:b/>
                <w:bCs/>
                <w:sz w:val="20"/>
                <w:szCs w:val="20"/>
                <w:lang w:val="en-GB"/>
              </w:rPr>
              <w:t>wt</w:t>
            </w:r>
            <w:proofErr w:type="spellEnd"/>
            <w:r>
              <w:rPr>
                <w:rFonts w:ascii="Times New Roman" w:hAnsi="Times New Roman" w:cs="Times New Roman"/>
                <w:b/>
                <w:bCs/>
                <w:sz w:val="20"/>
                <w:szCs w:val="20"/>
                <w:lang w:val="en-GB"/>
              </w:rPr>
              <w:t>%)</w:t>
            </w:r>
          </w:p>
        </w:tc>
        <w:tc>
          <w:tcPr>
            <w:tcW w:w="0" w:type="auto"/>
            <w:vMerge w:val="restart"/>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Ref.</w:t>
            </w:r>
          </w:p>
        </w:tc>
      </w:tr>
      <w:tr>
        <w:trPr>
          <w:trHeight w:val="53"/>
          <w:jc w:val="center"/>
        </w:trPr>
        <w:tc>
          <w:tcPr>
            <w:tcW w:w="0" w:type="auto"/>
            <w:vMerge/>
            <w:vAlign w:val="center"/>
          </w:tcPr>
          <w:p>
            <w:pPr>
              <w:jc w:val="center"/>
              <w:rPr>
                <w:rFonts w:ascii="Times New Roman" w:hAnsi="Times New Roman" w:cs="Times New Roman"/>
                <w:b/>
                <w:bCs/>
                <w:sz w:val="20"/>
                <w:szCs w:val="20"/>
                <w:lang w:val="en-GB"/>
              </w:rPr>
            </w:pPr>
          </w:p>
        </w:tc>
        <w:tc>
          <w:tcPr>
            <w:tcW w:w="0" w:type="auto"/>
            <w:vMerge/>
            <w:vAlign w:val="center"/>
          </w:tcPr>
          <w:p>
            <w:pPr>
              <w:jc w:val="center"/>
              <w:rPr>
                <w:rFonts w:ascii="Times New Roman" w:hAnsi="Times New Roman" w:cs="Times New Roman"/>
                <w:b/>
                <w:bCs/>
                <w:sz w:val="20"/>
                <w:szCs w:val="20"/>
                <w:lang w:val="en-GB"/>
              </w:rPr>
            </w:pPr>
          </w:p>
        </w:tc>
        <w:tc>
          <w:tcPr>
            <w:tcW w:w="0" w:type="auto"/>
            <w:vMerge/>
            <w:vAlign w:val="center"/>
          </w:tcPr>
          <w:p>
            <w:pPr>
              <w:jc w:val="center"/>
              <w:rPr>
                <w:rFonts w:ascii="Times New Roman" w:hAnsi="Times New Roman" w:cs="Times New Roman"/>
                <w:b/>
                <w:bCs/>
                <w:sz w:val="20"/>
                <w:szCs w:val="20"/>
                <w:lang w:val="en-GB"/>
              </w:rPr>
            </w:pPr>
          </w:p>
        </w:tc>
        <w:tc>
          <w:tcPr>
            <w:tcW w:w="0" w:type="auto"/>
            <w:vMerge/>
            <w:vAlign w:val="center"/>
          </w:tcPr>
          <w:p>
            <w:pPr>
              <w:jc w:val="center"/>
              <w:rPr>
                <w:rFonts w:ascii="Times New Roman" w:hAnsi="Times New Roman" w:cs="Times New Roman"/>
                <w:b/>
                <w:bCs/>
                <w:sz w:val="20"/>
                <w:szCs w:val="20"/>
                <w:lang w:val="en-GB"/>
              </w:rPr>
            </w:pPr>
          </w:p>
        </w:tc>
        <w:tc>
          <w:tcPr>
            <w:tcW w:w="0" w:type="auto"/>
            <w:vMerge/>
            <w:vAlign w:val="center"/>
          </w:tcPr>
          <w:p>
            <w:pPr>
              <w:jc w:val="center"/>
              <w:rPr>
                <w:rFonts w:ascii="Times New Roman" w:hAnsi="Times New Roman" w:cs="Times New Roman"/>
                <w:b/>
                <w:bCs/>
                <w:sz w:val="20"/>
                <w:szCs w:val="20"/>
                <w:lang w:val="en-GB"/>
              </w:rPr>
            </w:pP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b/>
                <w:bCs/>
                <w:sz w:val="20"/>
                <w:szCs w:val="20"/>
                <w:lang w:val="en-GB"/>
              </w:rPr>
              <w:t>C</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H</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O</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N</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S</w:t>
            </w:r>
          </w:p>
        </w:tc>
        <w:tc>
          <w:tcPr>
            <w:tcW w:w="0" w:type="auto"/>
            <w:vMerge/>
            <w:vAlign w:val="center"/>
          </w:tcPr>
          <w:p>
            <w:pPr>
              <w:jc w:val="center"/>
              <w:rPr>
                <w:rFonts w:ascii="Times New Roman" w:hAnsi="Times New Roman" w:cs="Times New Roman"/>
                <w:b/>
                <w:bCs/>
                <w:sz w:val="20"/>
                <w:szCs w:val="20"/>
                <w:lang w:val="en-GB"/>
              </w:rPr>
            </w:pPr>
          </w:p>
        </w:tc>
      </w:tr>
      <w:tr>
        <w:trPr>
          <w:jc w:val="center"/>
        </w:trPr>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Bamboo sawdust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17.7</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49.2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43.1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0.4</w:t>
            </w:r>
          </w:p>
        </w:tc>
        <w:tc>
          <w:tcPr>
            <w:tcW w:w="0" w:type="auto"/>
            <w:vAlign w:val="center"/>
          </w:tcPr>
          <w:p>
            <w:pPr>
              <w:jc w:val="center"/>
              <w:rPr>
                <w:rFonts w:ascii="Times New Roman" w:hAnsi="Times New Roman" w:cs="Times New Roman"/>
                <w:sz w:val="20"/>
                <w:szCs w:val="20"/>
                <w:lang w:val="en-GB"/>
              </w:rPr>
            </w:pPr>
          </w:p>
        </w:tc>
        <w:bookmarkStart w:id="5" w:name="_Hlk156494937"/>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fldChar w:fldCharType="begin" w:fldLock="1"/>
            </w:r>
            <w:r>
              <w:rPr>
                <w:rFonts w:ascii="Times New Roman" w:hAnsi="Times New Roman" w:cs="Times New Roman"/>
                <w:sz w:val="20"/>
                <w:szCs w:val="20"/>
                <w:lang w:val="en-GB"/>
              </w:rPr>
              <w:instrText>ADDIN CSL_CITATION {"citationItems":[{"id":"ITEM-1","itemData":{"DOI":"10.1016/j.enconman.2017.05.007","ISSN":"01968904","abstract":"Comparative study on microwave and conventional hydrothermal pretreatment of bamboo sawdust was carried out in this study. Microwave and conventional hydrothermal pretreatment both improved the hydrochar properties and its pyrolysis behaviors. Proximate and elemental analyses show that the properties of hydrochar from microwave hydrothermal pretreatment are better than conventional hydrothermal pretreatment in terms of calorific value and oxygen content except for 150 °C. Microwave hydrothermal pretreatment removes more acetyl groups in hemicellulose compared to conventional hydrothermal pretreatment, which may be attributed to the hot spot effect of microwave irradiation. The peaks of thermogravimetric and derivative thermogravimetric curves of pretreated samples always shifted to higher temperature region. Also, the conventional hydrothermal pretreated samples are more thermally stable than those by microwave heating. In addition, the glucopyranose content in pyrolysis vapors of microwave hydrothermal pretreated bamboo sawdust (190 °C) was 9.82% higher than that from conventional hydrothermal pretreated bamboo sawdust. However, the acids content from microwave hydrothermal pretreated bamboo sawdust (150 °C) was 4.12% lower. In this regard, microwave hydrothermal pretreatment is more suitable for upgrading the pyrolysis oil quality than conventional hydrothermal pretreatment.","author":[{"dropping-particle":"","family":"Dai","given":"Leilei","non-dropping-particle":"","parse-names":false,"suffix":""},{"dropping-particle":"","family":"He","given":"Chao","non-dropping-particle":"","parse-names":false,"suffix":""},{"dropping-particle":"","family":"Wang","given":"Yunpu","non-dropping-particle":"","parse-names":false,"suffix":""},{"dropping-particle":"","family":"Liu","given":"Yuhuan","non-dropping-particle":"","parse-names":false,"suffix":""},{"dropping-particle":"","family":"Yu","given":"Zhenting","non-dropping-particle":"","parse-names":false,"suffix":""},{"dropping-particle":"","family":"Zhou","given":"Yue","non-dropping-particle":"","parse-names":false,"suffix":""},{"dropping-particle":"","family":"Fan","given":"Liangliang","non-dropping-particle":"","parse-names":false,"suffix":""},{"dropping-particle":"","family":"Duan","given":"Dengle","non-dropping-particle":"","parse-names":false,"suffix":""},{"dropping-particle":"","family":"Ruan","given":"Roger","non-dropping-particle":"","parse-names":false,"suffix":""}],"container-title":"Energy Conversion and Management","id":"ITEM-1","issued":{"date-parts":[["2017"]]},"page":"1-7","publisher":"Elsevier Ltd","title":"Comparative study on microwave and conventional hydrothermal pretreatment of bamboo sawdust: Hydrochar properties and its pyrolysis behaviors","type":"article-journal","volume":"146"},"uris":["http://www.mendeley.com/documents/?uuid=66f5f7c0-0ee9-4a96-82d3-f32414ed58d4"]}],"mendeley":{"formattedCitation":"[1]","plainTextFormattedCitation":"[1]","previouslyFormattedCitation":"[1]"},"properties":{"noteIndex":0},"schema":"https://github.com/citation-style-language/schema/raw/master/csl-citation.json"}</w:instrText>
            </w:r>
            <w:r>
              <w:rPr>
                <w:rFonts w:ascii="Times New Roman" w:hAnsi="Times New Roman" w:cs="Times New Roman"/>
                <w:sz w:val="20"/>
                <w:szCs w:val="20"/>
                <w:lang w:val="en-GB"/>
              </w:rPr>
              <w:fldChar w:fldCharType="separate"/>
            </w:r>
            <w:r>
              <w:rPr>
                <w:rFonts w:ascii="Times New Roman" w:hAnsi="Times New Roman" w:cs="Times New Roman"/>
                <w:noProof/>
                <w:sz w:val="20"/>
                <w:szCs w:val="20"/>
                <w:lang w:val="en-GB"/>
              </w:rPr>
              <w:t>[1]</w:t>
            </w:r>
            <w:r>
              <w:rPr>
                <w:rFonts w:ascii="Times New Roman" w:hAnsi="Times New Roman" w:cs="Times New Roman"/>
                <w:sz w:val="20"/>
                <w:szCs w:val="20"/>
                <w:lang w:val="en-GB"/>
              </w:rPr>
              <w:fldChar w:fldCharType="end"/>
            </w:r>
            <w:bookmarkEnd w:id="5"/>
          </w:p>
        </w:tc>
      </w:tr>
      <w:tr>
        <w:trPr>
          <w:trHeight w:val="53"/>
          <w:jc w:val="center"/>
        </w:trPr>
        <w:tc>
          <w:tcPr>
            <w:tcW w:w="0" w:type="auto"/>
            <w:vMerge/>
            <w:vAlign w:val="center"/>
          </w:tcPr>
          <w:p>
            <w:pPr>
              <w:jc w:val="center"/>
              <w:rPr>
                <w:rFonts w:ascii="Times New Roman" w:hAnsi="Times New Roman" w:cs="Times New Roman"/>
                <w:sz w:val="20"/>
                <w:szCs w:val="20"/>
                <w:lang w:val="en-GB"/>
              </w:rPr>
            </w:pP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230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1:10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20.8</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53.4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40.2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0.1</w:t>
            </w:r>
          </w:p>
        </w:tc>
        <w:tc>
          <w:tcPr>
            <w:tcW w:w="0" w:type="auto"/>
            <w:vAlign w:val="center"/>
          </w:tcPr>
          <w:p>
            <w:pPr>
              <w:jc w:val="center"/>
              <w:rPr>
                <w:rFonts w:ascii="Times New Roman" w:hAnsi="Times New Roman" w:cs="Times New Roman"/>
                <w:sz w:val="20"/>
                <w:szCs w:val="20"/>
                <w:lang w:val="en-GB"/>
              </w:rPr>
            </w:pPr>
          </w:p>
        </w:tc>
        <w:tc>
          <w:tcPr>
            <w:tcW w:w="0" w:type="auto"/>
            <w:vMerge/>
            <w:vAlign w:val="center"/>
          </w:tcPr>
          <w:p>
            <w:pPr>
              <w:jc w:val="center"/>
              <w:rPr>
                <w:rFonts w:ascii="Times New Roman" w:hAnsi="Times New Roman" w:cs="Times New Roman"/>
                <w:sz w:val="20"/>
                <w:szCs w:val="20"/>
                <w:lang w:val="en-GB"/>
              </w:rPr>
            </w:pPr>
          </w:p>
        </w:tc>
      </w:tr>
      <w:tr>
        <w:trPr>
          <w:jc w:val="center"/>
        </w:trPr>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Rice husk</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16.2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40.8</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5.7</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40.5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bookmarkStart w:id="6" w:name="_Hlk156494944"/>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fldChar w:fldCharType="begin" w:fldLock="1"/>
            </w:r>
            <w:r>
              <w:rPr>
                <w:rFonts w:ascii="Times New Roman" w:hAnsi="Times New Roman" w:cs="Times New Roman"/>
                <w:sz w:val="20"/>
                <w:szCs w:val="20"/>
                <w:lang w:val="en-GB"/>
              </w:rPr>
              <w:instrText>ADDIN CSL_CITATION {"citationItems":[{"id":"ITEM-1","itemData":{"DOI":"10.1016/j.enconman.2016.10.002","ISSN":"01968904","abstract":"Wet torrefaction in the temperature range from 150 to 240 °C for 60 min was applied on rice husk sample prior to pyrolysis process in this work. Its effects on the physicochemical properties and pyrolysis product properties were evaluated. The analysis results of physicochemical properties of raw and pretreated samples indicated that wet torrefaction not only improved the fuel characteristics but also removed a large amount of alkali and alkaline earth metal species with the dual advantages of dry torrefaction and demineralisation. On the basis of pyrolysis experiment results, it was found that wet torrefaction at the mild reaction condition had a positive impact on bio-oil production, but more severe wet torrefaction condition was not reasonable. The highest relative content of levoglucosan (57.2%) was obtained from pyrolysis of rice husk sample after wet torrefaction at 210 °C, which was about 6.2 times higher than that of raw rice husk. The results of biochar analysis suggested that biochar produced from sample after wet torrefaction and pyrolysis seems not a desirable solid fuel, it can be used as the feedstock for preparation of nanosilica.","author":[{"dropping-particle":"","family":"Zhang","given":"Shuping","non-dropping-particle":"","parse-names":false,"suffix":""},{"dropping-particle":"","family":"Chen","given":"Tao","non-dropping-particle":"","parse-names":false,"suffix":""},{"dropping-particle":"","family":"Xiong","given":"Yuanquan","non-dropping-particle":"","parse-names":false,"suffix":""},{"dropping-particle":"","family":"Dong","given":"Qing","non-dropping-particle":"","parse-names":false,"suffix":""}],"container-title":"Energy Conversion and Management","id":"ITEM-1","issued":{"date-parts":[["2017"]]},"page":"403-409","publisher":"Elsevier Ltd","title":"Effects of wet torrefaction on the physicochemical properties and pyrolysis product properties of rice husk","type":"article-journal","volume":"141"},"uris":["http://www.mendeley.com/documents/?uuid=d3cb3cc9-13b3-4dfd-895c-f4a6b5370f1a"]}],"mendeley":{"formattedCitation":"[2]","plainTextFormattedCitation":"[2]","previouslyFormattedCitation":"[2]"},"properties":{"noteIndex":0},"schema":"https://github.com/citation-style-language/schema/raw/master/csl-citation.json"}</w:instrText>
            </w:r>
            <w:r>
              <w:rPr>
                <w:rFonts w:ascii="Times New Roman" w:hAnsi="Times New Roman" w:cs="Times New Roman"/>
                <w:sz w:val="20"/>
                <w:szCs w:val="20"/>
                <w:lang w:val="en-GB"/>
              </w:rPr>
              <w:fldChar w:fldCharType="separate"/>
            </w:r>
            <w:r>
              <w:rPr>
                <w:rFonts w:ascii="Times New Roman" w:hAnsi="Times New Roman" w:cs="Times New Roman"/>
                <w:noProof/>
                <w:sz w:val="20"/>
                <w:szCs w:val="20"/>
                <w:lang w:val="en-GB"/>
              </w:rPr>
              <w:t>[2]</w:t>
            </w:r>
            <w:r>
              <w:rPr>
                <w:rFonts w:ascii="Times New Roman" w:hAnsi="Times New Roman" w:cs="Times New Roman"/>
                <w:sz w:val="20"/>
                <w:szCs w:val="20"/>
                <w:lang w:val="en-GB"/>
              </w:rPr>
              <w:fldChar w:fldCharType="end"/>
            </w:r>
            <w:bookmarkEnd w:id="6"/>
          </w:p>
        </w:tc>
      </w:tr>
      <w:tr>
        <w:trPr>
          <w:jc w:val="center"/>
        </w:trPr>
        <w:tc>
          <w:tcPr>
            <w:tcW w:w="0" w:type="auto"/>
            <w:vMerge/>
            <w:vAlign w:val="center"/>
          </w:tcPr>
          <w:p>
            <w:pPr>
              <w:jc w:val="center"/>
              <w:rPr>
                <w:rFonts w:ascii="Times New Roman" w:hAnsi="Times New Roman" w:cs="Times New Roman"/>
                <w:sz w:val="20"/>
                <w:szCs w:val="20"/>
                <w:lang w:val="en-GB"/>
              </w:rPr>
            </w:pP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240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1:20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18.1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45.8</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33.1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Merge/>
            <w:vAlign w:val="center"/>
          </w:tcPr>
          <w:p>
            <w:pPr>
              <w:jc w:val="center"/>
              <w:rPr>
                <w:rFonts w:ascii="Times New Roman" w:hAnsi="Times New Roman" w:cs="Times New Roman"/>
                <w:sz w:val="20"/>
                <w:szCs w:val="20"/>
                <w:lang w:val="en-GB"/>
              </w:rPr>
            </w:pPr>
          </w:p>
        </w:tc>
      </w:tr>
      <w:tr>
        <w:trPr>
          <w:jc w:val="center"/>
        </w:trPr>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 xml:space="preserve">Corn stalk </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17.7</w:t>
            </w:r>
          </w:p>
        </w:tc>
        <w:tc>
          <w:tcPr>
            <w:tcW w:w="0" w:type="auto"/>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44.5</w:t>
            </w:r>
          </w:p>
        </w:tc>
        <w:tc>
          <w:tcPr>
            <w:tcW w:w="0" w:type="auto"/>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6.3</w:t>
            </w:r>
          </w:p>
        </w:tc>
        <w:tc>
          <w:tcPr>
            <w:tcW w:w="0" w:type="auto"/>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46.4</w:t>
            </w:r>
          </w:p>
        </w:tc>
        <w:tc>
          <w:tcPr>
            <w:tcW w:w="0" w:type="auto"/>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0.3</w:t>
            </w:r>
          </w:p>
        </w:tc>
        <w:tc>
          <w:tcPr>
            <w:tcW w:w="0" w:type="auto"/>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bookmarkStart w:id="7" w:name="_Hlk156494952"/>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fldChar w:fldCharType="begin" w:fldLock="1"/>
            </w:r>
            <w:r>
              <w:rPr>
                <w:rFonts w:ascii="Times New Roman" w:hAnsi="Times New Roman" w:cs="Times New Roman"/>
                <w:sz w:val="20"/>
                <w:szCs w:val="20"/>
                <w:lang w:val="en-GB"/>
              </w:rPr>
              <w:instrText>ADDIN CSL_CITATION {"citationItems":[{"id":"ITEM-1","itemData":{"DOI":"10.1016/j.biortech.2018.02.114","ISSN":"18732976","PMID":"29524691","abstract":"Wet torrefaction (WT) possesses some advantages over dry torrefaction (DT). In this study, a comparative analysis of torrefied corn stalk from WT and DT was conducted along with an investigation of their pyrolysis properties under optimal conditions for biomass pyrolysis polygeneration. Compared with DT, WT removed 98% of the ash and retained twice the amount of hydrogen. The impacts of DT and WT on the biomass macromolecular structure was also found to be different using two-dimensional perturbation correlation infrared spectroscopy (2D-PCIS). WT preserved the active hydroxyl groups and rearranged the macromolecule structure to allow cellulose to be more ordered, while DT removed these active hydroxyl groups and formed inter-crosslinking structures in macromolecules. Correspondingly, the bio-char yield after WT was lower than DT but the bio-char quality was upgraded due to high ash removal. Furthermore, higher bio-oil yield, higher sugar content, and higher H2 generation, were obtained after WT.","author":[{"dropping-particle":"","family":"Wang","given":"Xianhua","non-dropping-particle":"","parse-names":false,"suffix":""},{"dropping-particle":"","family":"Wu","given":"Jing","non-dropping-particle":"","parse-names":false,"suffix":""},{"dropping-particle":"","family":"Chen","given":"Yingquan","non-dropping-particle":"","parse-names":false,"suffix":""},{"dropping-particle":"","family":"Pattiya","given":"Adisak","non-dropping-particle":"","parse-names":false,"suffix":""},{"dropping-particle":"","family":"Yang","given":"Haiping","non-dropping-particle":"","parse-names":false,"suffix":""},{"dropping-particle":"","family":"Chen","given":"Hanping","non-dropping-particle":"","parse-names":false,"suffix":""}],"container-title":"Bioresource Technology","id":"ITEM-1","issued":{"date-parts":[["2018"]]},"page":"88-97","publisher":"Elsevier","title":"Comparative study of wet and dry torrefaction of corn stalk and the effect on biomass pyrolysis polygeneration","type":"article-journal","volume":"258"},"uris":["http://www.mendeley.com/documents/?uuid=783fe98d-18f8-481c-b3ad-c05117d091fc"]}],"mendeley":{"formattedCitation":"[3]","plainTextFormattedCitation":"[3]","previouslyFormattedCitation":"[3]"},"properties":{"noteIndex":0},"schema":"https://github.com/citation-style-language/schema/raw/master/csl-citation.json"}</w:instrText>
            </w:r>
            <w:r>
              <w:rPr>
                <w:rFonts w:ascii="Times New Roman" w:hAnsi="Times New Roman" w:cs="Times New Roman"/>
                <w:sz w:val="20"/>
                <w:szCs w:val="20"/>
                <w:lang w:val="en-GB"/>
              </w:rPr>
              <w:fldChar w:fldCharType="separate"/>
            </w:r>
            <w:r>
              <w:rPr>
                <w:rFonts w:ascii="Times New Roman" w:hAnsi="Times New Roman" w:cs="Times New Roman"/>
                <w:noProof/>
                <w:sz w:val="20"/>
                <w:szCs w:val="20"/>
                <w:lang w:val="en-GB"/>
              </w:rPr>
              <w:t>[3]</w:t>
            </w:r>
            <w:r>
              <w:rPr>
                <w:rFonts w:ascii="Times New Roman" w:hAnsi="Times New Roman" w:cs="Times New Roman"/>
                <w:sz w:val="20"/>
                <w:szCs w:val="20"/>
                <w:lang w:val="en-GB"/>
              </w:rPr>
              <w:fldChar w:fldCharType="end"/>
            </w:r>
            <w:bookmarkEnd w:id="7"/>
          </w:p>
        </w:tc>
      </w:tr>
      <w:tr>
        <w:trPr>
          <w:jc w:val="center"/>
        </w:trPr>
        <w:tc>
          <w:tcPr>
            <w:tcW w:w="0" w:type="auto"/>
            <w:vMerge/>
            <w:vAlign w:val="center"/>
          </w:tcPr>
          <w:p>
            <w:pPr>
              <w:jc w:val="center"/>
              <w:rPr>
                <w:rFonts w:ascii="Times New Roman" w:hAnsi="Times New Roman" w:cs="Times New Roman"/>
                <w:sz w:val="20"/>
                <w:szCs w:val="20"/>
                <w:lang w:val="en-GB"/>
              </w:rPr>
            </w:pP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220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1:15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21.2</w:t>
            </w:r>
          </w:p>
        </w:tc>
        <w:tc>
          <w:tcPr>
            <w:tcW w:w="0" w:type="auto"/>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53.3</w:t>
            </w:r>
          </w:p>
        </w:tc>
        <w:tc>
          <w:tcPr>
            <w:tcW w:w="0" w:type="auto"/>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6.0</w:t>
            </w:r>
          </w:p>
        </w:tc>
        <w:tc>
          <w:tcPr>
            <w:tcW w:w="0" w:type="auto"/>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40.0</w:t>
            </w:r>
          </w:p>
        </w:tc>
        <w:tc>
          <w:tcPr>
            <w:tcW w:w="0" w:type="auto"/>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0.4</w:t>
            </w:r>
          </w:p>
        </w:tc>
        <w:tc>
          <w:tcPr>
            <w:tcW w:w="0" w:type="auto"/>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Merge/>
            <w:vAlign w:val="center"/>
          </w:tcPr>
          <w:p>
            <w:pPr>
              <w:jc w:val="center"/>
              <w:rPr>
                <w:rFonts w:ascii="Times New Roman" w:hAnsi="Times New Roman" w:cs="Times New Roman"/>
                <w:sz w:val="20"/>
                <w:szCs w:val="20"/>
                <w:lang w:val="en-GB"/>
              </w:rPr>
            </w:pPr>
          </w:p>
        </w:tc>
      </w:tr>
      <w:tr>
        <w:trPr>
          <w:trHeight w:val="53"/>
          <w:jc w:val="center"/>
        </w:trPr>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 xml:space="preserve">Bamboo sawdust </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17.7</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49.2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43.1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fldChar w:fldCharType="begin" w:fldLock="1"/>
            </w:r>
            <w:r>
              <w:rPr>
                <w:rFonts w:ascii="Times New Roman" w:hAnsi="Times New Roman" w:cs="Times New Roman"/>
                <w:sz w:val="20"/>
                <w:szCs w:val="20"/>
                <w:lang w:val="en-GB"/>
              </w:rPr>
              <w:instrText>ADDIN CSL_CITATION {"citationItems":[{"id":"ITEM-1","itemData":{"DOI":"10.1016/j.jaap.2018.02.012","ISSN":"01652370","abstract":"In the present study, effect of wet torrefaction on biomass properties and co-pyrolysis of wet torrefied biomass and soapstock were investigated. Experimental results indicated that the ash and volatile contents decreased after wet torrefaction. Obvious decrease of hydrogen and oxygen and an increase of carbon were observed at the same time, which resulted in the augment of higher heating value (HHV). Although lower mass yield was observed under a higher temperature, corresponding energy yield was relatively higher. X-ray diffraction (XRD) analysis revealed that wet torrefaction (below 240 °C) can improve the crystallinity degree of bamboo sawdust. Fourier transfer infrared spectrometry (FTIR) analysis showed that wet torrefaction can significantly remove the acetyl groups in hemicellulose. In thermogravimetric (TG) analysis, the thermal properties of wet torrefied samples and soapstock were altered by co-pyrolysis. Pyrolysis-gas chromatography/mass spectroscopy (Py-GC/MS) analysis showed that co-pyrolysis can produce less oxygen-containing compounds and more hydrocarbons after wet torrefaction. Kinetic analysis showed that the addition of soapstock can obtain a lower activation energy compared with biomass pyrolysis individually. The activation energy for co-pyrolysis of pretreated biomass and soapstock was lower than co-pyrolysis of raw biomass and soapstock, suggesting that wet torrefaction has a positive influence on the co-pyrolysis. The results indicated that the combination of wet torrefaction and co-pyrolysis was a feasible technology for obtaining high-grade oil from biomass.","author":[{"dropping-particle":"","family":"Wang","given":"Yunpu","non-dropping-particle":"","parse-names":false,"suffix":""},{"dropping-particle":"","family":"Wu","given":"Qiuhao","non-dropping-particle":"","parse-names":false,"suffix":""},{"dropping-particle":"","family":"Dai","given":"Leilei","non-dropping-particle":"","parse-names":false,"suffix":""},{"dropping-particle":"","family":"Zeng","given":"Zihong","non-dropping-particle":"","parse-names":false,"suffix":""},{"dropping-particle":"","family":"Liu","given":"Yuhuan","non-dropping-particle":"","parse-names":false,"suffix":""},{"dropping-particle":"","family":"Ruan","given":"Roger","non-dropping-particle":"","parse-names":false,"suffix":""},{"dropping-particle":"","family":"Fu","given":"Guiming","non-dropping-particle":"","parse-names":false,"suffix":""},{"dropping-particle":"","family":"Yu","given":"Zhenting","non-dropping-particle":"","parse-names":false,"suffix":""},{"dropping-particle":"","family":"Jiang","given":"Lin","non-dropping-particle":"","parse-names":false,"suffix":""}],"container-title":"Journal of Analytical and Applied Pyrolysis","id":"ITEM-1","issued":{"date-parts":[["2018"]]},"page":"211-216","publisher":"Elsevier","title":"Co-pyrolysis of wet torrefied bamboo sawdust and soapstock","type":"article-journal","volume":"132"},"uris":["http://www.mendeley.com/documents/?uuid=8bc6b52c-fc15-4f51-8ced-e4b423adc33b"]}],"mendeley":{"formattedCitation":"[4]","plainTextFormattedCitation":"[4]","previouslyFormattedCitation":"[4]"},"properties":{"noteIndex":0},"schema":"https://github.com/citation-style-language/schema/raw/master/csl-citation.json"}</w:instrText>
            </w:r>
            <w:r>
              <w:rPr>
                <w:rFonts w:ascii="Times New Roman" w:hAnsi="Times New Roman" w:cs="Times New Roman"/>
                <w:sz w:val="20"/>
                <w:szCs w:val="20"/>
                <w:lang w:val="en-GB"/>
              </w:rPr>
              <w:fldChar w:fldCharType="separate"/>
            </w:r>
            <w:r>
              <w:rPr>
                <w:rFonts w:ascii="Times New Roman" w:hAnsi="Times New Roman" w:cs="Times New Roman"/>
                <w:noProof/>
                <w:sz w:val="20"/>
                <w:szCs w:val="20"/>
                <w:lang w:val="en-GB"/>
              </w:rPr>
              <w:t>[4]</w:t>
            </w:r>
            <w:r>
              <w:rPr>
                <w:rFonts w:ascii="Times New Roman" w:hAnsi="Times New Roman" w:cs="Times New Roman"/>
                <w:sz w:val="20"/>
                <w:szCs w:val="20"/>
                <w:lang w:val="en-GB"/>
              </w:rPr>
              <w:fldChar w:fldCharType="end"/>
            </w:r>
          </w:p>
        </w:tc>
      </w:tr>
      <w:tr>
        <w:trPr>
          <w:jc w:val="center"/>
        </w:trPr>
        <w:tc>
          <w:tcPr>
            <w:tcW w:w="0" w:type="auto"/>
            <w:vMerge/>
            <w:vAlign w:val="center"/>
          </w:tcPr>
          <w:p>
            <w:pPr>
              <w:jc w:val="center"/>
              <w:rPr>
                <w:rFonts w:ascii="Times New Roman" w:hAnsi="Times New Roman" w:cs="Times New Roman"/>
                <w:sz w:val="20"/>
                <w:szCs w:val="20"/>
                <w:lang w:val="en-GB"/>
              </w:rPr>
            </w:pP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240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1:10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20.9</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64.8</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30.3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Merge/>
            <w:vAlign w:val="center"/>
          </w:tcPr>
          <w:p>
            <w:pPr>
              <w:jc w:val="center"/>
              <w:rPr>
                <w:rFonts w:ascii="Times New Roman" w:hAnsi="Times New Roman" w:cs="Times New Roman"/>
                <w:sz w:val="20"/>
                <w:szCs w:val="20"/>
                <w:lang w:val="en-GB"/>
              </w:rPr>
            </w:pPr>
          </w:p>
        </w:tc>
      </w:tr>
      <w:tr>
        <w:trPr>
          <w:jc w:val="center"/>
        </w:trPr>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Beech</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17.4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44.9</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40.9</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0.04</w:t>
            </w:r>
          </w:p>
        </w:tc>
        <w:bookmarkStart w:id="8" w:name="_Hlk156494974"/>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fldChar w:fldCharType="begin" w:fldLock="1"/>
            </w:r>
            <w:r>
              <w:rPr>
                <w:rFonts w:ascii="Times New Roman" w:hAnsi="Times New Roman" w:cs="Times New Roman"/>
                <w:sz w:val="20"/>
                <w:szCs w:val="20"/>
                <w:lang w:val="en-GB"/>
              </w:rPr>
              <w:instrText>ADDIN CSL_CITATION {"citationItems":[{"id":"ITEM-1","itemData":{"DOI":"10.1021/acs.energyfuels.8b04501","ISSN":"15205029","abstract":"This study compares the influences of wet and dry torrefaction on pyrolysis behaviors of beech wood and wheat straw. These two types of torrefaction were compared at similar mass loss of samples. Fourier transform infrared and nuclear magnetic resonance were employed to investigate the chemical evolution during torrefaction pretreatment. Meanwhile, thermogravimetric analysis (TGA) and pyroprobe analyzer coupled with gas chromatography/mass spectrometry were used for studying the kinetic features and the product distribution of the subsequent pyrolysis. Analysis of the chemical composition indicated the disparate evolution direction of wet and dry torrefied biomass, leading to increased and decreased oxygen-containing functional groups, respectively. And, the chemical change of the wheat straw was more significant than that of beech wood. TGA results showed that the wet torrefaction increased, whereas the dry torrefaction decreased the volatile content, resulting in lower and higher char yield, respectively. Bio-oil quality was improved by both types of torrefaction despite some divergences in product distribution.","author":[{"dropping-particle":"","family":"Jian","given":"Jie","non-dropping-particle":"","parse-names":false,"suffix":""},{"dropping-particle":"","family":"Lu","given":"Zhimin","non-dropping-particle":"","parse-names":false,"suffix":""},{"dropping-particle":"","family":"Yao","given":"Shunchun","non-dropping-particle":"","parse-names":false,"suffix":""},{"dropping-particle":"","family":"Li","given":"Xin","non-dropping-particle":"","parse-names":false,"suffix":""},{"dropping-particle":"","family":"Song","given":"Weifeng","non-dropping-particle":"","parse-names":false,"suffix":""}],"container-title":"Energy and Fuels","id":"ITEM-1","issue":"4","issued":{"date-parts":[["2019"]]},"page":"3267-3274","title":"Comparative Study on Pyrolysis of Wet and Dry Torrefied Beech Wood and Wheat Straw","type":"article-journal","volume":"33"},"uris":["http://www.mendeley.com/documents/?uuid=158e7f5a-99b3-46ac-9e74-ee4f5ddcb829"]}],"mendeley":{"formattedCitation":"[5]","plainTextFormattedCitation":"[5]","previouslyFormattedCitation":"[5]"},"properties":{"noteIndex":0},"schema":"https://github.com/citation-style-language/schema/raw/master/csl-citation.json"}</w:instrText>
            </w:r>
            <w:r>
              <w:rPr>
                <w:rFonts w:ascii="Times New Roman" w:hAnsi="Times New Roman" w:cs="Times New Roman"/>
                <w:sz w:val="20"/>
                <w:szCs w:val="20"/>
                <w:lang w:val="en-GB"/>
              </w:rPr>
              <w:fldChar w:fldCharType="separate"/>
            </w:r>
            <w:r>
              <w:rPr>
                <w:rFonts w:ascii="Times New Roman" w:hAnsi="Times New Roman" w:cs="Times New Roman"/>
                <w:noProof/>
                <w:sz w:val="20"/>
                <w:szCs w:val="20"/>
                <w:lang w:val="en-GB"/>
              </w:rPr>
              <w:t>[5]</w:t>
            </w:r>
            <w:r>
              <w:rPr>
                <w:rFonts w:ascii="Times New Roman" w:hAnsi="Times New Roman" w:cs="Times New Roman"/>
                <w:sz w:val="20"/>
                <w:szCs w:val="20"/>
                <w:lang w:val="en-GB"/>
              </w:rPr>
              <w:fldChar w:fldCharType="end"/>
            </w:r>
            <w:bookmarkEnd w:id="8"/>
          </w:p>
        </w:tc>
      </w:tr>
      <w:tr>
        <w:trPr>
          <w:jc w:val="center"/>
        </w:trPr>
        <w:tc>
          <w:tcPr>
            <w:tcW w:w="0" w:type="auto"/>
            <w:vMerge/>
            <w:vAlign w:val="center"/>
          </w:tcPr>
          <w:p>
            <w:pPr>
              <w:jc w:val="center"/>
              <w:rPr>
                <w:rFonts w:ascii="Times New Roman" w:hAnsi="Times New Roman" w:cs="Times New Roman"/>
                <w:sz w:val="20"/>
                <w:szCs w:val="20"/>
                <w:lang w:val="en-GB"/>
              </w:rPr>
            </w:pP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200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1:20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19.1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48.9</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40.9</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0.03</w:t>
            </w:r>
          </w:p>
        </w:tc>
        <w:tc>
          <w:tcPr>
            <w:tcW w:w="0" w:type="auto"/>
            <w:vMerge/>
            <w:vAlign w:val="center"/>
          </w:tcPr>
          <w:p>
            <w:pPr>
              <w:jc w:val="center"/>
              <w:rPr>
                <w:rFonts w:ascii="Times New Roman" w:hAnsi="Times New Roman" w:cs="Times New Roman"/>
                <w:sz w:val="20"/>
                <w:szCs w:val="20"/>
                <w:lang w:val="en-GB"/>
              </w:rPr>
            </w:pPr>
          </w:p>
        </w:tc>
      </w:tr>
      <w:tr>
        <w:trPr>
          <w:jc w:val="center"/>
        </w:trPr>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Wheat straw</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17.1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45.0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37.6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0.1</w:t>
            </w:r>
          </w:p>
        </w:tc>
        <w:tc>
          <w:tcPr>
            <w:tcW w:w="0" w:type="auto"/>
            <w:vMerge/>
            <w:vAlign w:val="center"/>
          </w:tcPr>
          <w:p>
            <w:pPr>
              <w:jc w:val="center"/>
              <w:rPr>
                <w:rFonts w:ascii="Times New Roman" w:hAnsi="Times New Roman" w:cs="Times New Roman"/>
                <w:sz w:val="20"/>
                <w:szCs w:val="20"/>
                <w:lang w:val="en-GB"/>
              </w:rPr>
            </w:pPr>
          </w:p>
        </w:tc>
      </w:tr>
      <w:tr>
        <w:trPr>
          <w:jc w:val="center"/>
        </w:trPr>
        <w:tc>
          <w:tcPr>
            <w:tcW w:w="0" w:type="auto"/>
            <w:vMerge/>
            <w:vAlign w:val="center"/>
          </w:tcPr>
          <w:p>
            <w:pPr>
              <w:jc w:val="center"/>
              <w:rPr>
                <w:rFonts w:ascii="Times New Roman" w:hAnsi="Times New Roman" w:cs="Times New Roman"/>
                <w:sz w:val="20"/>
                <w:szCs w:val="20"/>
                <w:lang w:val="en-GB"/>
              </w:rPr>
            </w:pP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200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1:20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19.3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49.7</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38.4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0.1</w:t>
            </w:r>
          </w:p>
        </w:tc>
        <w:tc>
          <w:tcPr>
            <w:tcW w:w="0" w:type="auto"/>
            <w:vMerge/>
            <w:vAlign w:val="center"/>
          </w:tcPr>
          <w:p>
            <w:pPr>
              <w:jc w:val="center"/>
              <w:rPr>
                <w:rFonts w:ascii="Times New Roman" w:hAnsi="Times New Roman" w:cs="Times New Roman"/>
                <w:sz w:val="20"/>
                <w:szCs w:val="20"/>
                <w:lang w:val="en-GB"/>
              </w:rPr>
            </w:pPr>
          </w:p>
        </w:tc>
      </w:tr>
      <w:tr>
        <w:trPr>
          <w:trHeight w:val="197"/>
          <w:jc w:val="center"/>
        </w:trPr>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Spruce</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20.4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50.3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43.4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&lt;0.02</w:t>
            </w:r>
          </w:p>
        </w:tc>
        <w:bookmarkStart w:id="9" w:name="_Hlk156494989"/>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fldChar w:fldCharType="begin" w:fldLock="1"/>
            </w:r>
            <w:r>
              <w:rPr>
                <w:rFonts w:ascii="Times New Roman" w:hAnsi="Times New Roman" w:cs="Times New Roman"/>
                <w:sz w:val="20"/>
                <w:szCs w:val="20"/>
                <w:lang w:val="en-GB"/>
              </w:rPr>
              <w:instrText>ADDIN CSL_CITATION {"citationItems":[{"id":"ITEM-1","itemData":{"DOI":"10.1016/j.energy.2015.05.062","ISSN":"03605442","abstract":"The pyrolysis of Norway spruce and birch woods under nitrogen atmosphere was studied by means of a thermogravimetric analyzer operated in the non-isothermal mode, followed by a kinetic analysis employing a three-pseudo-component model with nth-order reactions. Raw woods and the woods treated via wet torrefaction in the conditions of various temperatures (175, 200, 225 °C) and holding times (10, 30, 60 min) were included in this work. The study showed that wet torrefaction resulted in higher pyrolysis peaks for the woods, but less mass of volatiles was released during pyrolysis. The effects of wet torrefaction on pyrolysis of the lignocellulosic components are different. The activation energy of hemicellulose was significantly reduced by wet torrefaction. However, those for cellulose and lignin were slightly increased by wet torrefaction. In addition, a kinetic evaluation with assumption of common parameters was performed. The results confirmed that some kinetic parameters can be assumed to be common for pyrolysis kinetic modeling of different biomasses without substantial reductions in the fit quality. Wet torrefaction converts different biomasses into more homogeneous solid products, of which the pyrolysis kinetics could be modeled by assumption of common parameters.","author":[{"dropping-particle":"","family":"Bach","given":"Quang Vu","non-dropping-particle":"","parse-names":false,"suffix":""},{"dropping-particle":"","family":"Tran","given":"Khanh Quang","non-dropping-particle":"","parse-names":false,"suffix":""},{"dropping-particle":"","family":"Skreiberg","given":"Øyvind","non-dropping-particle":"","parse-names":false,"suffix":""},{"dropping-particle":"","family":"Trinh","given":"Thuat T.","non-dropping-particle":"","parse-names":false,"suffix":""}],"container-title":"Energy","id":"ITEM-1","issued":{"date-parts":[["2015"]]},"page":"443-456","publisher":"Elsevier Ltd","title":"Effects of wet torrefaction on pyrolysis of woody biomass fuels","type":"article-journal","volume":"88"},"uris":["http://www.mendeley.com/documents/?uuid=cca560f5-e508-4712-843d-0f81618c4560"]}],"mendeley":{"formattedCitation":"[6]","plainTextFormattedCitation":"[6]","previouslyFormattedCitation":"[6]"},"properties":{"noteIndex":0},"schema":"https://github.com/citation-style-language/schema/raw/master/csl-citation.json"}</w:instrText>
            </w:r>
            <w:r>
              <w:rPr>
                <w:rFonts w:ascii="Times New Roman" w:hAnsi="Times New Roman" w:cs="Times New Roman"/>
                <w:sz w:val="20"/>
                <w:szCs w:val="20"/>
                <w:lang w:val="en-GB"/>
              </w:rPr>
              <w:fldChar w:fldCharType="separate"/>
            </w:r>
            <w:r>
              <w:rPr>
                <w:rFonts w:ascii="Times New Roman" w:hAnsi="Times New Roman" w:cs="Times New Roman"/>
                <w:noProof/>
                <w:sz w:val="20"/>
                <w:szCs w:val="20"/>
                <w:lang w:val="en-GB"/>
              </w:rPr>
              <w:t>[6]</w:t>
            </w:r>
            <w:r>
              <w:rPr>
                <w:rFonts w:ascii="Times New Roman" w:hAnsi="Times New Roman" w:cs="Times New Roman"/>
                <w:sz w:val="20"/>
                <w:szCs w:val="20"/>
                <w:lang w:val="en-GB"/>
              </w:rPr>
              <w:fldChar w:fldCharType="end"/>
            </w:r>
            <w:bookmarkEnd w:id="9"/>
          </w:p>
        </w:tc>
      </w:tr>
      <w:tr>
        <w:trPr>
          <w:jc w:val="center"/>
        </w:trPr>
        <w:tc>
          <w:tcPr>
            <w:tcW w:w="0" w:type="auto"/>
            <w:vMerge/>
            <w:vAlign w:val="center"/>
          </w:tcPr>
          <w:p>
            <w:pPr>
              <w:jc w:val="center"/>
              <w:rPr>
                <w:rFonts w:ascii="Times New Roman" w:hAnsi="Times New Roman" w:cs="Times New Roman"/>
                <w:sz w:val="20"/>
                <w:szCs w:val="20"/>
                <w:lang w:val="en-GB"/>
              </w:rPr>
            </w:pP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225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23.0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57.0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5.9</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37.1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&lt;0.02</w:t>
            </w:r>
          </w:p>
        </w:tc>
        <w:tc>
          <w:tcPr>
            <w:tcW w:w="0" w:type="auto"/>
            <w:vMerge/>
            <w:vAlign w:val="center"/>
          </w:tcPr>
          <w:p>
            <w:pPr>
              <w:jc w:val="center"/>
              <w:rPr>
                <w:rFonts w:ascii="Times New Roman" w:hAnsi="Times New Roman" w:cs="Times New Roman"/>
                <w:sz w:val="20"/>
                <w:szCs w:val="20"/>
                <w:lang w:val="en-GB"/>
              </w:rPr>
            </w:pPr>
          </w:p>
        </w:tc>
      </w:tr>
      <w:tr>
        <w:trPr>
          <w:jc w:val="center"/>
        </w:trPr>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Birch</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20.0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48.9</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44.6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&lt;0.02</w:t>
            </w:r>
          </w:p>
        </w:tc>
        <w:tc>
          <w:tcPr>
            <w:tcW w:w="0" w:type="auto"/>
            <w:vMerge/>
            <w:vAlign w:val="center"/>
          </w:tcPr>
          <w:p>
            <w:pPr>
              <w:jc w:val="center"/>
              <w:rPr>
                <w:rFonts w:ascii="Times New Roman" w:hAnsi="Times New Roman" w:cs="Times New Roman"/>
                <w:sz w:val="20"/>
                <w:szCs w:val="20"/>
                <w:lang w:val="en-GB"/>
              </w:rPr>
            </w:pPr>
          </w:p>
        </w:tc>
      </w:tr>
      <w:tr>
        <w:trPr>
          <w:jc w:val="center"/>
        </w:trPr>
        <w:tc>
          <w:tcPr>
            <w:tcW w:w="0" w:type="auto"/>
            <w:vMerge/>
            <w:vAlign w:val="center"/>
          </w:tcPr>
          <w:p>
            <w:pPr>
              <w:jc w:val="center"/>
              <w:rPr>
                <w:rFonts w:ascii="Times New Roman" w:hAnsi="Times New Roman" w:cs="Times New Roman"/>
                <w:sz w:val="20"/>
                <w:szCs w:val="20"/>
                <w:lang w:val="en-GB"/>
              </w:rPr>
            </w:pP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225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22.9</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56.9</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5.9</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42.6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&lt;0.02</w:t>
            </w:r>
          </w:p>
        </w:tc>
        <w:tc>
          <w:tcPr>
            <w:tcW w:w="0" w:type="auto"/>
            <w:vMerge/>
            <w:vAlign w:val="center"/>
          </w:tcPr>
          <w:p>
            <w:pPr>
              <w:jc w:val="center"/>
              <w:rPr>
                <w:rFonts w:ascii="Times New Roman" w:hAnsi="Times New Roman" w:cs="Times New Roman"/>
                <w:sz w:val="20"/>
                <w:szCs w:val="20"/>
                <w:lang w:val="en-GB"/>
              </w:rPr>
            </w:pPr>
          </w:p>
        </w:tc>
      </w:tr>
      <w:tr>
        <w:trPr>
          <w:jc w:val="center"/>
        </w:trPr>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 xml:space="preserve">Olive trimmings </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19.8</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48.3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40.0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bookmarkStart w:id="10" w:name="_Hlk156495004"/>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fldChar w:fldCharType="begin" w:fldLock="1"/>
            </w:r>
            <w:r>
              <w:rPr>
                <w:rFonts w:ascii="Times New Roman" w:hAnsi="Times New Roman" w:cs="Times New Roman"/>
                <w:sz w:val="20"/>
                <w:szCs w:val="20"/>
                <w:lang w:val="en-GB"/>
              </w:rPr>
              <w:instrText>ADDIN CSL_CITATION {"citationItems":[{"id":"ITEM-1","itemData":{"DOI":"10.1016/j.jaap.2017.02.022","ISSN":"01652370","abstract":"Hydrothermal carbonisation was used to upgrade fuels from two types of agro-industrial wastes: olive tree trimmings and olive pulp. Hydrochar yield, elemental and proximate analyses, thermal stability, higher heating value (HHV), and energy yield at different reaction temperatures (120, 150, 180, 200, 220, 235 and 250 °C) and solid load (biomass to water ratios − B/W − equal to 7, 10, 15 and 25%) were assessed for a fixed reaction time of 30 min. HHV varied linearly with hydrochar mass yield and reaction temperature in the temperature range 180–250 °C. Solid load proved to be a crucial parameter in determining the energy properties of hydrochars. The higher B/W, the higher were the degree of carbonisation (in terms of fixed and total carbon), the hydrochar HHV, and the hydrochar yield. Elemental analysis showed that during HTC, olive pulp samples underwent a greater degree of carbonisation when compared to the corresponding olive tree trimmings residues. High solid load and high reaction temperature promoted secondary char formation. Secondary char showed a sphere-like structure formed by overlapping layers. EDS microanalysis showed that secondary char is characterised by a significantly higher carbon content than parent primary char, thus confirming its contribution towards enhancing the HHV of hydrochars.","author":[{"dropping-particle":"","family":"Volpe","given":"Maurizio","non-dropping-particle":"","parse-names":false,"suffix":""},{"dropping-particle":"","family":"Fiori","given":"Luca","non-dropping-particle":"","parse-names":false,"suffix":""}],"container-title":"Journal of Analytical and Applied Pyrolysis","id":"ITEM-1","issued":{"date-parts":[["2017"]]},"page":"63-72","publisher":"Elsevier B.V.","title":"From olive waste to solid biofuel through hydrothermal carbonisation: The role of temperature and solid load on secondary char formation and hydrochar energy properties","type":"article-journal","volume":"124"},"uris":["http://www.mendeley.com/documents/?uuid=b0069894-22a9-43ff-8b0b-44d06f7ff7f3"]}],"mendeley":{"formattedCitation":"[7]","plainTextFormattedCitation":"[7]","previouslyFormattedCitation":"[7]"},"properties":{"noteIndex":0},"schema":"https://github.com/citation-style-language/schema/raw/master/csl-citation.json"}</w:instrText>
            </w:r>
            <w:r>
              <w:rPr>
                <w:rFonts w:ascii="Times New Roman" w:hAnsi="Times New Roman" w:cs="Times New Roman"/>
                <w:sz w:val="20"/>
                <w:szCs w:val="20"/>
                <w:lang w:val="en-GB"/>
              </w:rPr>
              <w:fldChar w:fldCharType="separate"/>
            </w:r>
            <w:r>
              <w:rPr>
                <w:rFonts w:ascii="Times New Roman" w:hAnsi="Times New Roman" w:cs="Times New Roman"/>
                <w:noProof/>
                <w:sz w:val="20"/>
                <w:szCs w:val="20"/>
                <w:lang w:val="en-GB"/>
              </w:rPr>
              <w:t>[7]</w:t>
            </w:r>
            <w:r>
              <w:rPr>
                <w:rFonts w:ascii="Times New Roman" w:hAnsi="Times New Roman" w:cs="Times New Roman"/>
                <w:sz w:val="20"/>
                <w:szCs w:val="20"/>
                <w:lang w:val="en-GB"/>
              </w:rPr>
              <w:fldChar w:fldCharType="end"/>
            </w:r>
            <w:bookmarkEnd w:id="10"/>
          </w:p>
        </w:tc>
      </w:tr>
      <w:tr>
        <w:trPr>
          <w:trHeight w:val="221"/>
          <w:jc w:val="center"/>
        </w:trPr>
        <w:tc>
          <w:tcPr>
            <w:tcW w:w="0" w:type="auto"/>
            <w:vMerge/>
            <w:vAlign w:val="center"/>
          </w:tcPr>
          <w:p>
            <w:pPr>
              <w:jc w:val="center"/>
              <w:rPr>
                <w:rFonts w:ascii="Times New Roman" w:hAnsi="Times New Roman" w:cs="Times New Roman"/>
                <w:sz w:val="20"/>
                <w:szCs w:val="20"/>
                <w:lang w:val="en-GB"/>
              </w:rPr>
            </w:pP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250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1:10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27.2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60.3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28.2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1.8</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Merge/>
            <w:vAlign w:val="center"/>
          </w:tcPr>
          <w:p>
            <w:pPr>
              <w:jc w:val="center"/>
              <w:rPr>
                <w:rFonts w:ascii="Times New Roman" w:hAnsi="Times New Roman" w:cs="Times New Roman"/>
                <w:sz w:val="20"/>
                <w:szCs w:val="20"/>
                <w:lang w:val="en-GB"/>
              </w:rPr>
            </w:pPr>
          </w:p>
        </w:tc>
      </w:tr>
      <w:tr>
        <w:trPr>
          <w:jc w:val="center"/>
        </w:trPr>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Olive pulp</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eastAsia="Times New Roman" w:hAnsi="Times New Roman" w:cs="Times New Roman"/>
                <w:sz w:val="20"/>
                <w:szCs w:val="20"/>
                <w:lang w:val="en-GB" w:eastAsia="sl-SI"/>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21.7</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50.3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5.8</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39.2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Merge/>
            <w:vAlign w:val="center"/>
          </w:tcPr>
          <w:p>
            <w:pPr>
              <w:jc w:val="center"/>
              <w:rPr>
                <w:rFonts w:ascii="Times New Roman" w:hAnsi="Times New Roman" w:cs="Times New Roman"/>
                <w:sz w:val="20"/>
                <w:szCs w:val="20"/>
                <w:lang w:val="en-GB"/>
              </w:rPr>
            </w:pPr>
          </w:p>
        </w:tc>
      </w:tr>
      <w:tr>
        <w:trPr>
          <w:jc w:val="center"/>
        </w:trPr>
        <w:tc>
          <w:tcPr>
            <w:tcW w:w="0" w:type="auto"/>
            <w:vMerge/>
            <w:vAlign w:val="center"/>
          </w:tcPr>
          <w:p>
            <w:pPr>
              <w:jc w:val="center"/>
              <w:rPr>
                <w:rFonts w:ascii="Times New Roman" w:hAnsi="Times New Roman" w:cs="Times New Roman"/>
                <w:sz w:val="20"/>
                <w:szCs w:val="20"/>
                <w:lang w:val="en-GB"/>
              </w:rPr>
            </w:pP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250</w:t>
            </w:r>
          </w:p>
        </w:tc>
        <w:tc>
          <w:tcPr>
            <w:tcW w:w="0" w:type="auto"/>
            <w:vAlign w:val="center"/>
          </w:tcPr>
          <w:p>
            <w:pPr>
              <w:jc w:val="center"/>
              <w:rPr>
                <w:rFonts w:ascii="Times New Roman" w:eastAsia="Times New Roman" w:hAnsi="Times New Roman" w:cs="Times New Roman"/>
                <w:sz w:val="20"/>
                <w:szCs w:val="20"/>
                <w:lang w:val="en-GB" w:eastAsia="sl-SI"/>
              </w:rPr>
            </w:pPr>
            <w:r>
              <w:rPr>
                <w:rFonts w:ascii="Times New Roman" w:hAnsi="Times New Roman" w:cs="Times New Roman"/>
                <w:sz w:val="20"/>
                <w:szCs w:val="20"/>
                <w:lang w:val="en-GB"/>
              </w:rPr>
              <w:t>30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1:10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27.6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62.9</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24.8</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1.7</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Merge/>
            <w:vAlign w:val="center"/>
          </w:tcPr>
          <w:p>
            <w:pPr>
              <w:jc w:val="center"/>
              <w:rPr>
                <w:rFonts w:ascii="Times New Roman" w:hAnsi="Times New Roman" w:cs="Times New Roman"/>
                <w:sz w:val="20"/>
                <w:szCs w:val="20"/>
                <w:lang w:val="en-GB"/>
              </w:rPr>
            </w:pPr>
          </w:p>
        </w:tc>
      </w:tr>
      <w:tr>
        <w:trPr>
          <w:jc w:val="center"/>
        </w:trPr>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Eucalyptus bark</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eastAsia="Times New Roman" w:hAnsi="Times New Roman" w:cs="Times New Roman"/>
                <w:sz w:val="20"/>
                <w:szCs w:val="20"/>
                <w:lang w:val="en-GB" w:eastAsia="sl-SI"/>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18.1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45.2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48.4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bookmarkStart w:id="11" w:name="_Hlk156495011"/>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fldChar w:fldCharType="begin" w:fldLock="1"/>
            </w:r>
            <w:r>
              <w:rPr>
                <w:rFonts w:ascii="Times New Roman" w:hAnsi="Times New Roman" w:cs="Times New Roman"/>
                <w:sz w:val="20"/>
                <w:szCs w:val="20"/>
                <w:lang w:val="en-GB"/>
              </w:rPr>
              <w:instrText>ADDIN CSL_CITATION {"citationItems":[{"id":"ITEM-1","itemData":{"DOI":"10.1016/j.energy.2015.12.123","ISSN":"03605442","abstract":"HTC (hydrothermal carbonization) is a technically-attractive thermal conversion process for biomass to produce solid carbonaceous products at mild conditions. EB (eucalyptus bark) was used as a feedstock for producing hydrochar by HTC. Effect of process conditions on the yield and physicochemical properties of hydrochar was examined by varying carbonization temperature over the range of 220-300 °C and varying residence time over the range of 2-10 h. With increase in temperature, the hydrochar yield decreased slightly from 46.4% at 220 °C to 40.0% at 300 °C. The O/C and H/C atomic ratios reduced from 1.69 and 0.80 to 0.83 and 0.23, respectively, which was mostly related to dehydration, decarboxylation and demethanation reactions. The oxygen containing functional groups decreased with increasing temperature. HHV (higher heating value) of hydrochar was in the range of 20.2-29.2 MJ/kg. Thermogravimetric analysis showed that hydrochar products obtained at temperature over 220 °C exhibited almost the same thermal behaviors. In comparison, the influence of residence time on the yield, physicochemical properties and thermal behavior of hydrochar was marginal.","author":[{"dropping-particle":"","family":"Gao","given":"Pin","non-dropping-particle":"","parse-names":false,"suffix":""},{"dropping-particle":"","family":"Zhou","given":"Yiyuan","non-dropping-particle":"","parse-names":false,"suffix":""},{"dropping-particle":"","family":"Meng","given":"Fang","non-dropping-particle":"","parse-names":false,"suffix":""},{"dropping-particle":"","family":"Zhang","given":"Yihui","non-dropping-particle":"","parse-names":false,"suffix":""},{"dropping-particle":"","family":"Liu","given":"Zhenhong","non-dropping-particle":"","parse-names":false,"suffix":""},{"dropping-particle":"","family":"Zhang","given":"Wenqi","non-dropping-particle":"","parse-names":false,"suffix":""},{"dropping-particle":"","family":"Xue","given":"Gang","non-dropping-particle":"","parse-names":false,"suffix":""}],"container-title":"Energy","id":"ITEM-1","issued":{"date-parts":[["2016"]]},"page":"238-245","publisher":"Elsevier Ltd","title":"Preparation and characterization of hydrochar from waste eucalyptus bark by hydrothermal carbonization","type":"article-journal","volume":"97"},"uris":["http://www.mendeley.com/documents/?uuid=fa7d81fd-2ef7-40b4-ad2d-8621a6f35e93"]}],"mendeley":{"formattedCitation":"[8]","plainTextFormattedCitation":"[8]","previouslyFormattedCitation":"[8]"},"properties":{"noteIndex":0},"schema":"https://github.com/citation-style-language/schema/raw/master/csl-citation.json"}</w:instrText>
            </w:r>
            <w:r>
              <w:rPr>
                <w:rFonts w:ascii="Times New Roman" w:hAnsi="Times New Roman" w:cs="Times New Roman"/>
                <w:sz w:val="20"/>
                <w:szCs w:val="20"/>
                <w:lang w:val="en-GB"/>
              </w:rPr>
              <w:fldChar w:fldCharType="separate"/>
            </w:r>
            <w:r>
              <w:rPr>
                <w:rFonts w:ascii="Times New Roman" w:hAnsi="Times New Roman" w:cs="Times New Roman"/>
                <w:noProof/>
                <w:sz w:val="20"/>
                <w:szCs w:val="20"/>
                <w:lang w:val="en-GB"/>
              </w:rPr>
              <w:t>[8]</w:t>
            </w:r>
            <w:r>
              <w:rPr>
                <w:rFonts w:ascii="Times New Roman" w:hAnsi="Times New Roman" w:cs="Times New Roman"/>
                <w:sz w:val="20"/>
                <w:szCs w:val="20"/>
                <w:lang w:val="en-GB"/>
              </w:rPr>
              <w:fldChar w:fldCharType="end"/>
            </w:r>
            <w:bookmarkEnd w:id="11"/>
          </w:p>
        </w:tc>
      </w:tr>
      <w:tr>
        <w:trPr>
          <w:trHeight w:val="53"/>
          <w:jc w:val="center"/>
        </w:trPr>
        <w:tc>
          <w:tcPr>
            <w:tcW w:w="0" w:type="auto"/>
            <w:vMerge/>
            <w:vAlign w:val="center"/>
          </w:tcPr>
          <w:p>
            <w:pPr>
              <w:jc w:val="center"/>
              <w:rPr>
                <w:rFonts w:ascii="Times New Roman" w:hAnsi="Times New Roman" w:cs="Times New Roman"/>
                <w:sz w:val="20"/>
                <w:szCs w:val="20"/>
                <w:lang w:val="en-GB"/>
              </w:rPr>
            </w:pP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300</w:t>
            </w:r>
          </w:p>
        </w:tc>
        <w:tc>
          <w:tcPr>
            <w:tcW w:w="0" w:type="auto"/>
            <w:vAlign w:val="center"/>
          </w:tcPr>
          <w:p>
            <w:pPr>
              <w:jc w:val="center"/>
              <w:rPr>
                <w:rFonts w:ascii="Times New Roman" w:eastAsia="Times New Roman" w:hAnsi="Times New Roman" w:cs="Times New Roman"/>
                <w:sz w:val="20"/>
                <w:szCs w:val="20"/>
                <w:lang w:val="en-GB" w:eastAsia="sl-SI"/>
              </w:rPr>
            </w:pPr>
            <w:r>
              <w:rPr>
                <w:rFonts w:ascii="Times New Roman" w:hAnsi="Times New Roman" w:cs="Times New Roman"/>
                <w:sz w:val="20"/>
                <w:szCs w:val="20"/>
                <w:lang w:val="en-GB"/>
              </w:rPr>
              <w:t>120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1:10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28.9</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72.7</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22.2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Merge/>
            <w:vAlign w:val="center"/>
          </w:tcPr>
          <w:p>
            <w:pPr>
              <w:jc w:val="center"/>
              <w:rPr>
                <w:rFonts w:ascii="Times New Roman" w:hAnsi="Times New Roman" w:cs="Times New Roman"/>
                <w:sz w:val="20"/>
                <w:szCs w:val="20"/>
                <w:lang w:val="en-GB"/>
              </w:rPr>
            </w:pPr>
          </w:p>
        </w:tc>
      </w:tr>
      <w:tr>
        <w:trPr>
          <w:jc w:val="center"/>
        </w:trPr>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Palm oil empty fruit bunches</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eastAsia="Times New Roman" w:hAnsi="Times New Roman" w:cs="Times New Roman"/>
                <w:sz w:val="20"/>
                <w:szCs w:val="20"/>
                <w:lang w:val="en-GB" w:eastAsia="sl-SI"/>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19.5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48.3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6.7</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43.7</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0.3</w:t>
            </w:r>
          </w:p>
        </w:tc>
        <w:bookmarkStart w:id="12" w:name="_Hlk156495024"/>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fldChar w:fldCharType="begin" w:fldLock="1"/>
            </w:r>
            <w:r>
              <w:rPr>
                <w:rFonts w:ascii="Times New Roman" w:hAnsi="Times New Roman" w:cs="Times New Roman"/>
                <w:sz w:val="20"/>
                <w:szCs w:val="20"/>
                <w:lang w:val="en-GB"/>
              </w:rPr>
              <w:instrText>ADDIN CSL_CITATION {"citationItems":[{"id":"ITEM-1","itemData":{"DOI":"10.1016/j.biortech.2012.09.042","ISSN":"18732976","PMID":"23127830","abstract":"A carbon-rich solid product, denoted as hydrochar, was synthesized by hydrothermal carbonization (HTC) of palm oil empty fruit bunch (EFB), at different pre-treatment temperatures of 150, 250 and 350°C. The conversion of the raw biomass to its hydrochar occurred via dehydration and decarboxylation processes. The hydrochar produced at 350°C had the maximum energy-density (&gt;27MJkg-1) with 68.52% of raw EFB energy retained in the char. To gain a detailed insight into the chemical and structural properties, carbonaceous hydrochar materials were characterized by FE-SEM, FT-IR, XRD and Brunauer-Emmett-Teller (BET) analyses. This work also investigated the influence of hydrothermally treated hydrochars on the co-combustion characteristics of low rank Indonesian coal. Conventional thermal gravimetric analysis (TGA) parameters, kinetics and activation energy of different hydrochar and coal blends were estimated. Our results show that solid hydrochars improve the combustion of low rank coals for energy generation. © 2012 Elsevier Ltd.","author":[{"dropping-particle":"","family":"Parshetti","given":"Ganesh K.","non-dropping-particle":"","parse-names":false,"suffix":""},{"dropping-particle":"","family":"Kent Hoekman","given":"S.","non-dropping-particle":"","parse-names":false,"suffix":""},{"dropping-particle":"","family":"Balasubramanian","given":"Rajasekhar","non-dropping-particle":"","parse-names":false,"suffix":""}],"container-title":"Bioresource Technology","id":"ITEM-1","issued":{"date-parts":[["2013"]]},"page":"683-689","publisher":"Elsevier Ltd","title":"Chemical, structural and combustion characteristics of carbonaceous products obtained by hydrothermal carbonization of palm empty fruit bunches","type":"article-journal","volume":"135"},"uris":["http://www.mendeley.com/documents/?uuid=a5f09e59-5829-4012-910b-f5daed482766"]}],"mendeley":{"formattedCitation":"[9]","plainTextFormattedCitation":"[9]","previouslyFormattedCitation":"[9]"},"properties":{"noteIndex":0},"schema":"https://github.com/citation-style-language/schema/raw/master/csl-citation.json"}</w:instrText>
            </w:r>
            <w:r>
              <w:rPr>
                <w:rFonts w:ascii="Times New Roman" w:hAnsi="Times New Roman" w:cs="Times New Roman"/>
                <w:sz w:val="20"/>
                <w:szCs w:val="20"/>
                <w:lang w:val="en-GB"/>
              </w:rPr>
              <w:fldChar w:fldCharType="separate"/>
            </w:r>
            <w:r>
              <w:rPr>
                <w:rFonts w:ascii="Times New Roman" w:hAnsi="Times New Roman" w:cs="Times New Roman"/>
                <w:noProof/>
                <w:sz w:val="20"/>
                <w:szCs w:val="20"/>
                <w:lang w:val="en-GB"/>
              </w:rPr>
              <w:t>[9]</w:t>
            </w:r>
            <w:r>
              <w:rPr>
                <w:rFonts w:ascii="Times New Roman" w:hAnsi="Times New Roman" w:cs="Times New Roman"/>
                <w:sz w:val="20"/>
                <w:szCs w:val="20"/>
                <w:lang w:val="en-GB"/>
              </w:rPr>
              <w:fldChar w:fldCharType="end"/>
            </w:r>
            <w:bookmarkEnd w:id="12"/>
          </w:p>
        </w:tc>
      </w:tr>
      <w:tr>
        <w:trPr>
          <w:jc w:val="center"/>
        </w:trPr>
        <w:tc>
          <w:tcPr>
            <w:tcW w:w="0" w:type="auto"/>
            <w:vMerge/>
            <w:vAlign w:val="center"/>
          </w:tcPr>
          <w:p>
            <w:pPr>
              <w:jc w:val="center"/>
              <w:rPr>
                <w:rFonts w:ascii="Times New Roman" w:hAnsi="Times New Roman" w:cs="Times New Roman"/>
                <w:sz w:val="20"/>
                <w:szCs w:val="20"/>
                <w:lang w:val="en-GB"/>
              </w:rPr>
            </w:pP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350</w:t>
            </w:r>
          </w:p>
        </w:tc>
        <w:tc>
          <w:tcPr>
            <w:tcW w:w="0" w:type="auto"/>
            <w:vAlign w:val="center"/>
          </w:tcPr>
          <w:p>
            <w:pPr>
              <w:jc w:val="center"/>
              <w:rPr>
                <w:rFonts w:ascii="Times New Roman" w:eastAsia="Times New Roman" w:hAnsi="Times New Roman" w:cs="Times New Roman"/>
                <w:sz w:val="20"/>
                <w:szCs w:val="20"/>
                <w:lang w:val="en-GB" w:eastAsia="sl-SI"/>
              </w:rPr>
            </w:pPr>
            <w:r>
              <w:rPr>
                <w:rFonts w:ascii="Times New Roman" w:hAnsi="Times New Roman" w:cs="Times New Roman"/>
                <w:sz w:val="20"/>
                <w:szCs w:val="20"/>
                <w:lang w:val="en-GB"/>
              </w:rPr>
              <w:t>30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1:6.7</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27.2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66.0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4.2</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28.4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0.3</w:t>
            </w:r>
          </w:p>
        </w:tc>
        <w:tc>
          <w:tcPr>
            <w:tcW w:w="0" w:type="auto"/>
            <w:vMerge/>
            <w:vAlign w:val="center"/>
          </w:tcPr>
          <w:p>
            <w:pPr>
              <w:jc w:val="center"/>
              <w:rPr>
                <w:rFonts w:ascii="Times New Roman" w:hAnsi="Times New Roman" w:cs="Times New Roman"/>
                <w:sz w:val="20"/>
                <w:szCs w:val="20"/>
                <w:lang w:val="en-GB"/>
              </w:rPr>
            </w:pPr>
          </w:p>
        </w:tc>
      </w:tr>
      <w:tr>
        <w:trPr>
          <w:jc w:val="center"/>
        </w:trPr>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Grape pomace</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eastAsia="Times New Roman" w:hAnsi="Times New Roman" w:cs="Times New Roman"/>
                <w:sz w:val="20"/>
                <w:szCs w:val="20"/>
                <w:lang w:val="en-GB" w:eastAsia="sl-SI"/>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20.0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49.1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42.3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bookmarkStart w:id="13" w:name="_Hlk156495041"/>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fldChar w:fldCharType="begin" w:fldLock="1"/>
            </w:r>
            <w:r>
              <w:rPr>
                <w:rFonts w:ascii="Times New Roman" w:hAnsi="Times New Roman" w:cs="Times New Roman"/>
                <w:sz w:val="20"/>
                <w:szCs w:val="20"/>
                <w:lang w:val="en-GB"/>
              </w:rPr>
              <w:instrText>ADDIN CSL_CITATION {"citationItems":[{"id":"ITEM-1","itemData":{"DOI":"10.1016/j.biortech.2014.03.052","ISSN":"18732976","PMID":"24709539","abstract":"Grape pomace was treated by hydrothermal carbonization (sub-critical water, 175-275. °C) and torrefaction (nitrogen atmosphere, 250 and 300. °C), with mass yield of solid product (char) ranging between 47% and 78%, and energy densification ratio to 1.42-1.15 of the original feedstock. The chars were characterised with respect to their fuel properties, morphological and structural properties and combustion characteristics. The hydrothermal carbonization produced the char with greater energy density than torrefaction. The chars from torrefaction were found to be more aromatic in nature than that from hydrothermal carbonization. Hydrothermal carbonization process produced the char having high combustion reactivity. Most interesting was the finding that aqueous phase from hydrothermal carbonization had antioxidant activity. The results obtained in this study showed that HTC appears to be promising process for a winery waste having high moisture content. © 2014 Elsevier Ltd.","author":[{"dropping-particle":"","family":"Pala","given":"Mehmet","non-dropping-particle":"","parse-names":false,"suffix":""},{"dropping-particle":"","family":"Kantarli","given":"Ismail Cem","non-dropping-particle":"","parse-names":false,"suffix":""},{"dropping-particle":"","family":"Buyukisik","given":"Hasan Baha","non-dropping-particle":"","parse-names":false,"suffix":""},{"dropping-particle":"","family":"Yanik","given":"Jale","non-dropping-particle":"","parse-names":false,"suffix":""}],"container-title":"Bioresource Technology","id":"ITEM-1","issued":{"date-parts":[["2014"]]},"page":"255-262","publisher":"Elsevier Ltd","title":"Hydrothermal carbonization and torrefaction of grape pomace: A comparative evaluation","type":"article-journal","volume":"161"},"uris":["http://www.mendeley.com/documents/?uuid=649cb908-cf1d-4a01-b891-50f11610c9c8"]}],"mendeley":{"formattedCitation":"[10]","plainTextFormattedCitation":"[10]","previouslyFormattedCitation":"[10]"},"properties":{"noteIndex":0},"schema":"https://github.com/citation-style-language/schema/raw/master/csl-citation.json"}</w:instrText>
            </w:r>
            <w:r>
              <w:rPr>
                <w:rFonts w:ascii="Times New Roman" w:hAnsi="Times New Roman" w:cs="Times New Roman"/>
                <w:sz w:val="20"/>
                <w:szCs w:val="20"/>
                <w:lang w:val="en-GB"/>
              </w:rPr>
              <w:fldChar w:fldCharType="separate"/>
            </w:r>
            <w:r>
              <w:rPr>
                <w:rFonts w:ascii="Times New Roman" w:hAnsi="Times New Roman" w:cs="Times New Roman"/>
                <w:noProof/>
                <w:sz w:val="20"/>
                <w:szCs w:val="20"/>
                <w:lang w:val="en-GB"/>
              </w:rPr>
              <w:t>[10]</w:t>
            </w:r>
            <w:r>
              <w:rPr>
                <w:rFonts w:ascii="Times New Roman" w:hAnsi="Times New Roman" w:cs="Times New Roman"/>
                <w:sz w:val="20"/>
                <w:szCs w:val="20"/>
                <w:lang w:val="en-GB"/>
              </w:rPr>
              <w:fldChar w:fldCharType="end"/>
            </w:r>
            <w:bookmarkEnd w:id="13"/>
          </w:p>
        </w:tc>
      </w:tr>
      <w:tr>
        <w:trPr>
          <w:trHeight w:val="53"/>
          <w:jc w:val="center"/>
        </w:trPr>
        <w:tc>
          <w:tcPr>
            <w:tcW w:w="0" w:type="auto"/>
            <w:vMerge/>
            <w:vAlign w:val="center"/>
          </w:tcPr>
          <w:p>
            <w:pPr>
              <w:jc w:val="center"/>
              <w:rPr>
                <w:rFonts w:ascii="Times New Roman" w:hAnsi="Times New Roman" w:cs="Times New Roman"/>
                <w:sz w:val="20"/>
                <w:szCs w:val="20"/>
                <w:lang w:val="en-GB"/>
              </w:rPr>
            </w:pP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275</w:t>
            </w:r>
          </w:p>
        </w:tc>
        <w:tc>
          <w:tcPr>
            <w:tcW w:w="0" w:type="auto"/>
            <w:vAlign w:val="center"/>
          </w:tcPr>
          <w:p>
            <w:pPr>
              <w:jc w:val="center"/>
              <w:rPr>
                <w:rFonts w:ascii="Times New Roman" w:eastAsia="Times New Roman" w:hAnsi="Times New Roman" w:cs="Times New Roman"/>
                <w:sz w:val="20"/>
                <w:szCs w:val="20"/>
                <w:lang w:val="en-GB" w:eastAsia="sl-SI"/>
              </w:rPr>
            </w:pPr>
            <w:r>
              <w:rPr>
                <w:rFonts w:ascii="Times New Roman" w:eastAsia="Times New Roman" w:hAnsi="Times New Roman" w:cs="Times New Roman"/>
                <w:sz w:val="20"/>
                <w:szCs w:val="20"/>
                <w:lang w:val="en-GB" w:eastAsia="sl-SI"/>
              </w:rPr>
              <w:t>30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28.3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68.3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5.9</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23.5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Merge/>
            <w:vAlign w:val="center"/>
          </w:tcPr>
          <w:p>
            <w:pPr>
              <w:jc w:val="center"/>
              <w:rPr>
                <w:rFonts w:ascii="Times New Roman" w:hAnsi="Times New Roman" w:cs="Times New Roman"/>
                <w:sz w:val="20"/>
                <w:szCs w:val="20"/>
                <w:lang w:val="en-GB"/>
              </w:rPr>
            </w:pPr>
          </w:p>
        </w:tc>
      </w:tr>
      <w:tr>
        <w:trPr>
          <w:jc w:val="center"/>
        </w:trPr>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Wheat straw</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eastAsia="Times New Roman" w:hAnsi="Times New Roman" w:cs="Times New Roman"/>
                <w:sz w:val="20"/>
                <w:szCs w:val="20"/>
                <w:lang w:val="en-GB" w:eastAsia="sl-SI"/>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17.6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45.0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5.7</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44.6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0.4</w:t>
            </w:r>
          </w:p>
        </w:tc>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fldChar w:fldCharType="begin" w:fldLock="1"/>
            </w:r>
            <w:r>
              <w:rPr>
                <w:rFonts w:ascii="Times New Roman" w:hAnsi="Times New Roman" w:cs="Times New Roman"/>
                <w:sz w:val="20"/>
                <w:szCs w:val="20"/>
                <w:lang w:val="en-GB"/>
              </w:rPr>
              <w:instrText>ADDIN CSL_CITATION {"citationItems":[{"id":"ITEM-1","itemData":{"DOI":"10.1016/j.biortech.2018.08.082","ISSN":"18732976","PMID":"30153551","abstract":"In order to upgrade wheat straw, hydrothermal treatment at 160–240 °C was investigated. Meanwhile, the influence of temperature and leaching on the fuel's physicochemical and combustion properties were explored. A temperature of 180–220 °C was found to benefit the generation of hydrochar, with solid and energy yields of at least 57.3% and 69.9%, respectively. When temperature increased to 160 °C, hemicellulose was hydrolyzed and this led to the formation of carbon microspheres. The diameter of the carbon microspheres reached 0.05–0.7 μm. Hydrochars obtained at 160, 180, and 200 °C exhibited better combustion performance with higher comprehensive combustibility index value. While leaching heavily impacted the hydrochar derived at 160 °C and increased its activation energy (178 kJ/mol) above those obtained for treatment at 180 °C (164 kJ/mol) and 200 °C (169 kJ/mol). Overall, the recommended hydrothermal temperature for production of fuel from wheat straw is 180–200 °C.","author":[{"dropping-particle":"","family":"Ma","given":"Qiulin","non-dropping-particle":"","parse-names":false,"suffix":""},{"dropping-particle":"","family":"Han","given":"Lujia","non-dropping-particle":"","parse-names":false,"suffix":""},{"dropping-particle":"","family":"Huang","given":"Guangqun","non-dropping-particle":"","parse-names":false,"suffix":""}],"container-title":"Bioresource Technology","id":"ITEM-1","issued":{"date-parts":[["2018"]]},"page":"96-103","publisher":"Elsevier","title":"Effect of water-washing of wheat straw and hydrothermal temperature on its hydrochar evolution and combustion properties","type":"article-journal","volume":"269"},"uris":["http://www.mendeley.com/documents/?uuid=ad09e2e5-6b93-4779-9da9-111535e005de"]}],"mendeley":{"formattedCitation":"[11]","plainTextFormattedCitation":"[11]","previouslyFormattedCitation":"[11]"},"properties":{"noteIndex":0},"schema":"https://github.com/citation-style-language/schema/raw/master/csl-citation.json"}</w:instrText>
            </w:r>
            <w:r>
              <w:rPr>
                <w:rFonts w:ascii="Times New Roman" w:hAnsi="Times New Roman" w:cs="Times New Roman"/>
                <w:sz w:val="20"/>
                <w:szCs w:val="20"/>
                <w:lang w:val="en-GB"/>
              </w:rPr>
              <w:fldChar w:fldCharType="separate"/>
            </w:r>
            <w:r>
              <w:rPr>
                <w:rFonts w:ascii="Times New Roman" w:hAnsi="Times New Roman" w:cs="Times New Roman"/>
                <w:noProof/>
                <w:sz w:val="20"/>
                <w:szCs w:val="20"/>
                <w:lang w:val="en-GB"/>
              </w:rPr>
              <w:t>[11]</w:t>
            </w:r>
            <w:r>
              <w:rPr>
                <w:rFonts w:ascii="Times New Roman" w:hAnsi="Times New Roman" w:cs="Times New Roman"/>
                <w:sz w:val="20"/>
                <w:szCs w:val="20"/>
                <w:lang w:val="en-GB"/>
              </w:rPr>
              <w:fldChar w:fldCharType="end"/>
            </w:r>
          </w:p>
        </w:tc>
      </w:tr>
      <w:tr>
        <w:trPr>
          <w:jc w:val="center"/>
        </w:trPr>
        <w:tc>
          <w:tcPr>
            <w:tcW w:w="0" w:type="auto"/>
            <w:vMerge/>
            <w:vAlign w:val="center"/>
          </w:tcPr>
          <w:p>
            <w:pPr>
              <w:jc w:val="center"/>
              <w:rPr>
                <w:rFonts w:ascii="Times New Roman" w:hAnsi="Times New Roman" w:cs="Times New Roman"/>
                <w:sz w:val="20"/>
                <w:szCs w:val="20"/>
                <w:lang w:val="en-GB"/>
              </w:rPr>
            </w:pP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240</w:t>
            </w:r>
          </w:p>
        </w:tc>
        <w:tc>
          <w:tcPr>
            <w:tcW w:w="0" w:type="auto"/>
            <w:vAlign w:val="center"/>
          </w:tcPr>
          <w:p>
            <w:pPr>
              <w:jc w:val="center"/>
              <w:rPr>
                <w:rFonts w:ascii="Times New Roman" w:eastAsia="Times New Roman" w:hAnsi="Times New Roman" w:cs="Times New Roman"/>
                <w:sz w:val="20"/>
                <w:szCs w:val="20"/>
                <w:lang w:val="en-GB" w:eastAsia="sl-SI"/>
              </w:rPr>
            </w:pPr>
            <w:r>
              <w:rPr>
                <w:rFonts w:ascii="Times New Roman" w:eastAsia="Times New Roman" w:hAnsi="Times New Roman" w:cs="Times New Roman"/>
                <w:sz w:val="20"/>
                <w:szCs w:val="20"/>
                <w:lang w:val="en-GB" w:eastAsia="sl-SI"/>
              </w:rPr>
              <w:t>60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1:10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23.9</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60.7</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29.5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0.4</w:t>
            </w:r>
          </w:p>
        </w:tc>
        <w:tc>
          <w:tcPr>
            <w:tcW w:w="0" w:type="auto"/>
            <w:vMerge/>
            <w:vAlign w:val="center"/>
          </w:tcPr>
          <w:p>
            <w:pPr>
              <w:jc w:val="center"/>
              <w:rPr>
                <w:rFonts w:ascii="Times New Roman" w:hAnsi="Times New Roman" w:cs="Times New Roman"/>
                <w:sz w:val="20"/>
                <w:szCs w:val="20"/>
                <w:lang w:val="en-GB"/>
              </w:rPr>
            </w:pPr>
          </w:p>
        </w:tc>
      </w:tr>
      <w:tr>
        <w:trPr>
          <w:jc w:val="center"/>
        </w:trPr>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Dried olive pomace</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eastAsia="Times New Roman" w:hAnsi="Times New Roman" w:cs="Times New Roman"/>
                <w:sz w:val="20"/>
                <w:szCs w:val="20"/>
                <w:lang w:val="en-GB" w:eastAsia="sl-SI"/>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22.5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53.5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6.8</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38.6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1.1</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Merge w:val="restart"/>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fldChar w:fldCharType="begin" w:fldLock="1"/>
            </w:r>
            <w:r>
              <w:rPr>
                <w:rFonts w:ascii="Times New Roman" w:hAnsi="Times New Roman" w:cs="Times New Roman"/>
                <w:sz w:val="20"/>
                <w:szCs w:val="20"/>
                <w:lang w:val="en-GB"/>
              </w:rPr>
              <w:instrText>ADDIN CSL_CITATION {"citationItems":[{"id":"ITEM-1","itemData":{"DOI":"10.1016/j.jaap.2017.09.022","ISSN":"01652370","abstract":"Hydrothermal carbonization (HTC) of dried olive pomace (DOP) was performed in subcritical water under HTC conditions (180–250 °C) to assess the potential of the generated hydrochar to produce energy. The effects of process parameters (holding time, temperature and DOP/water weight ratio) on the yield and the quality of the hydrochar were examined. The mass yield of hydrochar was between 56% and 71% and its HHV increased by more than 23% compared to the HHV of DOP giving a hydrochar similar to a lignite-type coal. The results reveal that a 30 min treatment at 215 °C with a DOP/water weight ratio of 1/6 maximizes the energy yield (83%) of the HTC process. Both the DOP and the hydrochar were characterized by ultimate, proximate and thermogravimetric analyses. The ultimate and thermogravimetric analyses showed that the hydrochar is more carbonaceous and more thermally stable than untreated DOP. The HTC conversion of raw DOP was carried out by dehydration reactions. The proximate analysis showed that hydrochars contained lower ash and volatile matter compared to the raw DOP.","author":[{"dropping-particle":"","family":"Missaoui","given":"Ayoub","non-dropping-particle":"","parse-names":false,"suffix":""},{"dropping-particle":"","family":"Bostyn","given":"Stéphane","non-dropping-particle":"","parse-names":false,"suffix":""},{"dropping-particle":"","family":"Belandria","given":"Veronica","non-dropping-particle":"","parse-names":false,"suffix":""},{"dropping-particle":"","family":"Cagnon","given":"Benoît","non-dropping-particle":"","parse-names":false,"suffix":""},{"dropping-particle":"","family":"Sarh","given":"Brahim","non-dropping-particle":"","parse-names":false,"suffix":""},{"dropping-particle":"","family":"Gökalp","given":"Iskender","non-dropping-particle":"","parse-names":false,"suffix":""}],"container-title":"Journal of Analytical and Applied Pyrolysis","id":"ITEM-1","issued":{"date-parts":[["2017"]]},"page":"281-290","publisher":"Elsevier","title":"Hydrothermal carbonization of dried olive pomace: Energy potential and process performances","type":"article-journal","volume":"128"},"uris":["http://www.mendeley.com/documents/?uuid=c9b4ca14-1adc-4cf9-b540-0f48800c7aa0"]}],"mendeley":{"formattedCitation":"[12]","plainTextFormattedCitation":"[12]","previouslyFormattedCitation":"[12]"},"properties":{"noteIndex":0},"schema":"https://github.com/citation-style-language/schema/raw/master/csl-citation.json"}</w:instrText>
            </w:r>
            <w:r>
              <w:rPr>
                <w:rFonts w:ascii="Times New Roman" w:hAnsi="Times New Roman" w:cs="Times New Roman"/>
                <w:sz w:val="20"/>
                <w:szCs w:val="20"/>
                <w:lang w:val="en-GB"/>
              </w:rPr>
              <w:fldChar w:fldCharType="separate"/>
            </w:r>
            <w:r>
              <w:rPr>
                <w:rFonts w:ascii="Times New Roman" w:hAnsi="Times New Roman" w:cs="Times New Roman"/>
                <w:noProof/>
                <w:sz w:val="20"/>
                <w:szCs w:val="20"/>
                <w:lang w:val="en-GB"/>
              </w:rPr>
              <w:t>[12]</w:t>
            </w:r>
            <w:r>
              <w:rPr>
                <w:rFonts w:ascii="Times New Roman" w:hAnsi="Times New Roman" w:cs="Times New Roman"/>
                <w:sz w:val="20"/>
                <w:szCs w:val="20"/>
                <w:lang w:val="en-GB"/>
              </w:rPr>
              <w:fldChar w:fldCharType="end"/>
            </w:r>
          </w:p>
        </w:tc>
      </w:tr>
      <w:tr>
        <w:trPr>
          <w:trHeight w:val="53"/>
          <w:jc w:val="center"/>
        </w:trPr>
        <w:tc>
          <w:tcPr>
            <w:tcW w:w="0" w:type="auto"/>
            <w:vMerge/>
            <w:vAlign w:val="center"/>
          </w:tcPr>
          <w:p>
            <w:pPr>
              <w:jc w:val="center"/>
              <w:rPr>
                <w:rFonts w:ascii="Times New Roman" w:hAnsi="Times New Roman" w:cs="Times New Roman"/>
                <w:sz w:val="20"/>
                <w:szCs w:val="20"/>
                <w:lang w:val="en-GB"/>
              </w:rPr>
            </w:pP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250</w:t>
            </w:r>
          </w:p>
        </w:tc>
        <w:tc>
          <w:tcPr>
            <w:tcW w:w="0" w:type="auto"/>
            <w:vAlign w:val="center"/>
          </w:tcPr>
          <w:p>
            <w:pPr>
              <w:jc w:val="center"/>
              <w:rPr>
                <w:rFonts w:ascii="Times New Roman" w:eastAsia="Times New Roman" w:hAnsi="Times New Roman" w:cs="Times New Roman"/>
                <w:sz w:val="20"/>
                <w:szCs w:val="20"/>
                <w:lang w:val="en-GB" w:eastAsia="sl-SI"/>
              </w:rPr>
            </w:pPr>
            <w:r>
              <w:rPr>
                <w:rFonts w:ascii="Times New Roman" w:eastAsia="Times New Roman" w:hAnsi="Times New Roman" w:cs="Times New Roman"/>
                <w:sz w:val="20"/>
                <w:szCs w:val="20"/>
                <w:lang w:val="en-GB" w:eastAsia="sl-SI"/>
              </w:rPr>
              <w:t>30</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27.6</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67.8</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6.5</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24.3</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1.4</w:t>
            </w:r>
          </w:p>
        </w:tc>
        <w:tc>
          <w:tcPr>
            <w:tcW w:w="0" w:type="auto"/>
            <w:vAlign w:val="center"/>
          </w:tcPr>
          <w:p>
            <w:pPr>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vMerge/>
            <w:vAlign w:val="center"/>
          </w:tcPr>
          <w:p>
            <w:pPr>
              <w:jc w:val="center"/>
              <w:rPr>
                <w:rFonts w:ascii="Times New Roman" w:hAnsi="Times New Roman" w:cs="Times New Roman"/>
                <w:sz w:val="20"/>
                <w:szCs w:val="20"/>
                <w:lang w:val="en-GB"/>
              </w:rPr>
            </w:pPr>
          </w:p>
        </w:tc>
      </w:tr>
      <w:tr>
        <w:trPr>
          <w:jc w:val="center"/>
        </w:trPr>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WCPR</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w:t>
            </w:r>
          </w:p>
        </w:tc>
        <w:tc>
          <w:tcPr>
            <w:tcW w:w="0" w:type="auto"/>
            <w:vAlign w:val="center"/>
          </w:tcPr>
          <w:p>
            <w:pPr>
              <w:jc w:val="center"/>
              <w:rPr>
                <w:rFonts w:ascii="Times New Roman" w:eastAsia="Times New Roman" w:hAnsi="Times New Roman" w:cs="Times New Roman"/>
                <w:b/>
                <w:bCs/>
                <w:sz w:val="20"/>
                <w:szCs w:val="20"/>
                <w:lang w:val="en-GB" w:eastAsia="sl-SI"/>
              </w:rPr>
            </w:pPr>
            <w:r>
              <w:rPr>
                <w:rFonts w:ascii="Times New Roman" w:hAnsi="Times New Roman" w:cs="Times New Roman"/>
                <w:b/>
                <w:bCs/>
                <w:sz w:val="20"/>
                <w:szCs w:val="20"/>
                <w:lang w:val="en-GB"/>
              </w:rPr>
              <w:t>‒</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20.1</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48.3</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6.2</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40.3</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0.1</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0.5</w:t>
            </w:r>
          </w:p>
        </w:tc>
        <w:tc>
          <w:tcPr>
            <w:tcW w:w="0" w:type="auto"/>
            <w:vMerge w:val="restart"/>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This study</w:t>
            </w:r>
          </w:p>
        </w:tc>
      </w:tr>
      <w:tr>
        <w:trPr>
          <w:trHeight w:val="53"/>
          <w:jc w:val="center"/>
        </w:trPr>
        <w:tc>
          <w:tcPr>
            <w:tcW w:w="0" w:type="auto"/>
            <w:vAlign w:val="center"/>
          </w:tcPr>
          <w:p>
            <w:pPr>
              <w:jc w:val="center"/>
              <w:rPr>
                <w:rFonts w:ascii="Times New Roman" w:hAnsi="Times New Roman" w:cs="Times New Roman"/>
                <w:b/>
                <w:bCs/>
                <w:sz w:val="20"/>
                <w:szCs w:val="20"/>
                <w:lang w:val="en-GB"/>
              </w:rPr>
            </w:pPr>
            <w:proofErr w:type="spellStart"/>
            <w:r>
              <w:rPr>
                <w:rFonts w:ascii="Times New Roman" w:hAnsi="Times New Roman" w:cs="Times New Roman"/>
                <w:b/>
                <w:bCs/>
                <w:sz w:val="20"/>
                <w:szCs w:val="20"/>
                <w:lang w:val="en-GB"/>
              </w:rPr>
              <w:t>WT+Mordenite</w:t>
            </w:r>
            <w:proofErr w:type="spellEnd"/>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220</w:t>
            </w:r>
          </w:p>
        </w:tc>
        <w:tc>
          <w:tcPr>
            <w:tcW w:w="0" w:type="auto"/>
            <w:vAlign w:val="center"/>
          </w:tcPr>
          <w:p>
            <w:pPr>
              <w:jc w:val="center"/>
              <w:rPr>
                <w:rFonts w:ascii="Times New Roman" w:eastAsia="Times New Roman" w:hAnsi="Times New Roman" w:cs="Times New Roman"/>
                <w:b/>
                <w:bCs/>
                <w:sz w:val="20"/>
                <w:szCs w:val="20"/>
                <w:lang w:val="en-GB" w:eastAsia="sl-SI"/>
              </w:rPr>
            </w:pPr>
            <w:r>
              <w:rPr>
                <w:rFonts w:ascii="Times New Roman" w:eastAsia="Times New Roman" w:hAnsi="Times New Roman" w:cs="Times New Roman"/>
                <w:b/>
                <w:bCs/>
                <w:sz w:val="20"/>
                <w:szCs w:val="20"/>
                <w:lang w:val="en-GB" w:eastAsia="sl-SI"/>
              </w:rPr>
              <w:t>60</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1:10</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27.3</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71.5</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3.4</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15.9</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0.1</w:t>
            </w:r>
          </w:p>
        </w:tc>
        <w:tc>
          <w:tcPr>
            <w:tcW w:w="0" w:type="auto"/>
            <w:vAlign w:val="center"/>
          </w:tcPr>
          <w:p>
            <w:pPr>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w:t>
            </w:r>
          </w:p>
        </w:tc>
        <w:tc>
          <w:tcPr>
            <w:tcW w:w="0" w:type="auto"/>
            <w:vMerge/>
            <w:vAlign w:val="center"/>
          </w:tcPr>
          <w:p>
            <w:pPr>
              <w:jc w:val="center"/>
              <w:rPr>
                <w:rFonts w:ascii="Times New Roman" w:hAnsi="Times New Roman" w:cs="Times New Roman"/>
                <w:b/>
                <w:bCs/>
                <w:sz w:val="20"/>
                <w:szCs w:val="20"/>
                <w:lang w:val="en-GB"/>
              </w:rPr>
            </w:pPr>
          </w:p>
        </w:tc>
      </w:tr>
    </w:tbl>
    <w:p>
      <w:pPr>
        <w:spacing w:after="0" w:line="480" w:lineRule="auto"/>
        <w:contextualSpacing/>
        <w:jc w:val="both"/>
        <w:rPr>
          <w:rFonts w:ascii="Times New Roman" w:hAnsi="Times New Roman" w:cs="Times New Roman"/>
          <w:b/>
          <w:bCs/>
          <w:sz w:val="24"/>
          <w:szCs w:val="24"/>
          <w:lang w:val="en-GB"/>
        </w:rPr>
      </w:pPr>
    </w:p>
    <w:p>
      <w:pPr>
        <w:spacing w:after="0" w:line="240" w:lineRule="auto"/>
        <w:jc w:val="both"/>
        <w:rPr>
          <w:rFonts w:ascii="Times New Roman" w:hAnsi="Times New Roman" w:cs="Times New Roman"/>
          <w:b/>
          <w:bCs/>
          <w:iCs/>
          <w:sz w:val="24"/>
          <w:szCs w:val="24"/>
          <w:lang w:val="en-GB"/>
        </w:rPr>
        <w:sectPr>
          <w:pgSz w:w="15840" w:h="12240" w:orient="landscape"/>
          <w:pgMar w:top="1440" w:right="1440" w:bottom="1440" w:left="1440" w:header="720" w:footer="720" w:gutter="0"/>
          <w:cols w:space="720"/>
          <w:docGrid w:linePitch="360"/>
        </w:sectPr>
      </w:pPr>
    </w:p>
    <w:p>
      <w:pPr>
        <w:spacing w:after="0" w:line="360" w:lineRule="auto"/>
        <w:jc w:val="both"/>
        <w:rPr>
          <w:rFonts w:ascii="Times New Roman" w:hAnsi="Times New Roman" w:cs="Times New Roman"/>
          <w:b/>
          <w:bCs/>
          <w:iCs/>
          <w:sz w:val="24"/>
          <w:szCs w:val="24"/>
          <w:lang w:val="en-GB"/>
        </w:rPr>
      </w:pPr>
      <w:r>
        <w:rPr>
          <w:rFonts w:ascii="Times New Roman" w:hAnsi="Times New Roman" w:cs="Times New Roman"/>
          <w:b/>
          <w:bCs/>
          <w:iCs/>
          <w:sz w:val="24"/>
          <w:szCs w:val="24"/>
          <w:lang w:val="en-GB"/>
        </w:rPr>
        <w:lastRenderedPageBreak/>
        <w:t>References</w:t>
      </w:r>
    </w:p>
    <w:p>
      <w:pPr>
        <w:spacing w:after="0" w:line="360" w:lineRule="auto"/>
        <w:jc w:val="both"/>
        <w:rPr>
          <w:rFonts w:ascii="Times New Roman" w:hAnsi="Times New Roman" w:cs="Times New Roman"/>
          <w:b/>
          <w:bCs/>
          <w:iCs/>
          <w:sz w:val="24"/>
          <w:szCs w:val="24"/>
          <w:lang w:val="en-GB"/>
        </w:rPr>
      </w:pPr>
    </w:p>
    <w:p>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Pr>
          <w:rFonts w:ascii="Times New Roman" w:hAnsi="Times New Roman" w:cs="Times New Roman"/>
          <w:iCs/>
          <w:sz w:val="24"/>
          <w:szCs w:val="24"/>
          <w:lang w:val="en-GB"/>
        </w:rPr>
        <w:fldChar w:fldCharType="begin" w:fldLock="1"/>
      </w:r>
      <w:r>
        <w:rPr>
          <w:rFonts w:ascii="Times New Roman" w:hAnsi="Times New Roman" w:cs="Times New Roman"/>
          <w:iCs/>
          <w:sz w:val="24"/>
          <w:szCs w:val="24"/>
          <w:lang w:val="en-GB"/>
        </w:rPr>
        <w:instrText xml:space="preserve">ADDIN Mendeley Bibliography CSL_BIBLIOGRAPHY </w:instrText>
      </w:r>
      <w:r>
        <w:rPr>
          <w:rFonts w:ascii="Times New Roman" w:hAnsi="Times New Roman" w:cs="Times New Roman"/>
          <w:iCs/>
          <w:sz w:val="24"/>
          <w:szCs w:val="24"/>
          <w:lang w:val="en-GB"/>
        </w:rPr>
        <w:fldChar w:fldCharType="separate"/>
      </w:r>
      <w:r>
        <w:rPr>
          <w:rFonts w:ascii="Times New Roman" w:hAnsi="Times New Roman" w:cs="Times New Roman"/>
          <w:noProof/>
          <w:sz w:val="24"/>
          <w:szCs w:val="24"/>
        </w:rPr>
        <w:t>[1]</w:t>
      </w:r>
      <w:r>
        <w:rPr>
          <w:rFonts w:ascii="Times New Roman" w:hAnsi="Times New Roman" w:cs="Times New Roman"/>
          <w:noProof/>
          <w:sz w:val="24"/>
          <w:szCs w:val="24"/>
        </w:rPr>
        <w:tab/>
        <w:t>L. Dai, C. He, Y. Wang, Y. Liu, Z. Yu, Y. Zhou, L. Fan, D. Duan, R. Ruan, Comparative study on microwave and conventional hydrothermal pretreatment of bamboo sawdust: Hydrochar properties and its pyrolysis behaviors, Energy Convers. Manag. 146 (2017) 1–7. https://doi.org/10.1016/j.enconman.2017.05.007.</w:t>
      </w:r>
    </w:p>
    <w:p>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[2]</w:t>
      </w:r>
      <w:r>
        <w:rPr>
          <w:rFonts w:ascii="Times New Roman" w:hAnsi="Times New Roman" w:cs="Times New Roman"/>
          <w:noProof/>
          <w:sz w:val="24"/>
          <w:szCs w:val="24"/>
        </w:rPr>
        <w:tab/>
        <w:t>S. Zhang, T. Chen, Y. Xiong, Q. Dong, Effects of wet torrefaction on the physicochemical properties and pyrolysis product properties of rice husk, Energy Convers. Manag. 141 (2017) 403–409. https://doi.org/10.1016/j.enconman.2016.10.002.</w:t>
      </w:r>
    </w:p>
    <w:p>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[3]</w:t>
      </w:r>
      <w:r>
        <w:rPr>
          <w:rFonts w:ascii="Times New Roman" w:hAnsi="Times New Roman" w:cs="Times New Roman"/>
          <w:noProof/>
          <w:sz w:val="24"/>
          <w:szCs w:val="24"/>
        </w:rPr>
        <w:tab/>
        <w:t>X. Wang, J. Wu, Y. Chen, A. Pattiya, H. Yang, H. Chen, Comparative study of wet and dry torrefaction of corn stalk and the effect on biomass pyrolysis polygeneration, Bioresour. Technol. 258 (2018) 88–97. https://doi.org/10.1016/j.biortech.2018.02.114.</w:t>
      </w:r>
    </w:p>
    <w:p>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[4]</w:t>
      </w:r>
      <w:r>
        <w:rPr>
          <w:rFonts w:ascii="Times New Roman" w:hAnsi="Times New Roman" w:cs="Times New Roman"/>
          <w:noProof/>
          <w:sz w:val="24"/>
          <w:szCs w:val="24"/>
        </w:rPr>
        <w:tab/>
        <w:t>Y. Wang, Q. Wu, L. Dai, Z. Zeng, Y. Liu, R. Ruan, G. Fu, Z. Yu, L. Jiang, Co-pyrolysis of wet torrefied bamboo sawdust and soapstock, J. Anal. Appl. Pyrolysis. 132 (2018) 211–216. https://doi.org/10.1016/j.jaap.2018.02.012.</w:t>
      </w:r>
    </w:p>
    <w:p>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[5]</w:t>
      </w:r>
      <w:r>
        <w:rPr>
          <w:rFonts w:ascii="Times New Roman" w:hAnsi="Times New Roman" w:cs="Times New Roman"/>
          <w:noProof/>
          <w:sz w:val="24"/>
          <w:szCs w:val="24"/>
        </w:rPr>
        <w:tab/>
        <w:t>J. Jian, Z. Lu, S. Yao, X. Li, W. Song, Comparative Study on Pyrolysis of Wet and Dry Torrefied Beech Wood and Wheat Straw, Energy and Fuels. 33 (2019) 3267–3274. https://doi.org/10.1021/acs.energyfuels.8b04501.</w:t>
      </w:r>
    </w:p>
    <w:p>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[6]</w:t>
      </w:r>
      <w:r>
        <w:rPr>
          <w:rFonts w:ascii="Times New Roman" w:hAnsi="Times New Roman" w:cs="Times New Roman"/>
          <w:noProof/>
          <w:sz w:val="24"/>
          <w:szCs w:val="24"/>
        </w:rPr>
        <w:tab/>
        <w:t>Q.V. Bach, K.Q. Tran, Ø. Skreiberg, T.T. Trinh, Effects of wet torrefaction on pyrolysis of woody biomass fuels, Energy. 88 (2015) 443–456. https://doi.org/10.1016/j.energy.2015.05.062.</w:t>
      </w:r>
    </w:p>
    <w:p>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[7]</w:t>
      </w:r>
      <w:r>
        <w:rPr>
          <w:rFonts w:ascii="Times New Roman" w:hAnsi="Times New Roman" w:cs="Times New Roman"/>
          <w:noProof/>
          <w:sz w:val="24"/>
          <w:szCs w:val="24"/>
        </w:rPr>
        <w:tab/>
        <w:t>M. Volpe, L. Fiori, From olive waste to solid biofuel through hydrothermal carbonisation: The role of temperature and solid load on secondary char formation and hydrochar energy properties, J. Anal. Appl. Pyrolysis. 124 (2017) 63–72. https://doi.org/10.1016/j.jaap.2017.02.022.</w:t>
      </w:r>
    </w:p>
    <w:p>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[8]</w:t>
      </w:r>
      <w:r>
        <w:rPr>
          <w:rFonts w:ascii="Times New Roman" w:hAnsi="Times New Roman" w:cs="Times New Roman"/>
          <w:noProof/>
          <w:sz w:val="24"/>
          <w:szCs w:val="24"/>
        </w:rPr>
        <w:tab/>
        <w:t>P. Gao, Y. Zhou, F. Meng, Y. Zhang, Z. Liu, W. Zhang, G. Xue, Preparation and characterization of hydrochar from waste eucalyptus bark by hydrothermal carbonization, Energy. 97 (2016) 238–245. https://doi.org/10.1016/j.energy.2015.12.123.</w:t>
      </w:r>
    </w:p>
    <w:p>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[9]</w:t>
      </w:r>
      <w:r>
        <w:rPr>
          <w:rFonts w:ascii="Times New Roman" w:hAnsi="Times New Roman" w:cs="Times New Roman"/>
          <w:noProof/>
          <w:sz w:val="24"/>
          <w:szCs w:val="24"/>
        </w:rPr>
        <w:tab/>
        <w:t xml:space="preserve">G.K. Parshetti, S. Kent Hoekman, R. Balasubramanian, Chemical, structural and combustion characteristics of carbonaceous products obtained by hydrothermal carbonization of palm empty fruit bunches, Bioresour. Technol. 135 (2013) 683–689. </w:t>
      </w:r>
      <w:r>
        <w:rPr>
          <w:rFonts w:ascii="Times New Roman" w:hAnsi="Times New Roman" w:cs="Times New Roman"/>
          <w:noProof/>
          <w:sz w:val="24"/>
          <w:szCs w:val="24"/>
        </w:rPr>
        <w:lastRenderedPageBreak/>
        <w:t>https://doi.org/10.1016/j.biortech.2012.09.042.</w:t>
      </w:r>
    </w:p>
    <w:p>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[10]</w:t>
      </w:r>
      <w:r>
        <w:rPr>
          <w:rFonts w:ascii="Times New Roman" w:hAnsi="Times New Roman" w:cs="Times New Roman"/>
          <w:noProof/>
          <w:sz w:val="24"/>
          <w:szCs w:val="24"/>
        </w:rPr>
        <w:tab/>
        <w:t>M. Pala, I.C. Kantarli, H.B. Buyukisik, J. Yanik, Hydrothermal carbonization and torrefaction of grape pomace: A comparative evaluation, Bioresour. Technol. 161 (2014) 255–262. https://doi.org/10.1016/j.biortech.2014.03.052.</w:t>
      </w:r>
    </w:p>
    <w:p>
      <w:pPr>
        <w:widowControl w:val="0"/>
        <w:autoSpaceDE w:val="0"/>
        <w:autoSpaceDN w:val="0"/>
        <w:adjustRightInd w:val="0"/>
        <w:spacing w:after="0" w:line="36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[11]</w:t>
      </w:r>
      <w:r>
        <w:rPr>
          <w:rFonts w:ascii="Times New Roman" w:hAnsi="Times New Roman" w:cs="Times New Roman"/>
          <w:noProof/>
          <w:sz w:val="24"/>
          <w:szCs w:val="24"/>
        </w:rPr>
        <w:tab/>
        <w:t>Q. Ma, L. Han, G. Huang, Effect of water-washing of wheat straw and hydrothermal temperature on its hydrochar evolution and combustion properties, Bioresour. Technol. 269 (2018) 96–103. https://doi.org/10.1016/j.biortech.2018.08.082.</w:t>
      </w:r>
    </w:p>
    <w:p>
      <w:pPr>
        <w:widowControl w:val="0"/>
        <w:autoSpaceDE w:val="0"/>
        <w:autoSpaceDN w:val="0"/>
        <w:adjustRightInd w:val="0"/>
        <w:spacing w:after="0" w:line="360" w:lineRule="auto"/>
        <w:ind w:left="640" w:hanging="640"/>
        <w:jc w:val="both"/>
        <w:rPr>
          <w:rFonts w:ascii="Times New Roman" w:hAnsi="Times New Roman" w:cs="Times New Roman"/>
          <w:noProof/>
          <w:sz w:val="24"/>
        </w:rPr>
      </w:pPr>
      <w:r>
        <w:rPr>
          <w:rFonts w:ascii="Times New Roman" w:hAnsi="Times New Roman" w:cs="Times New Roman"/>
          <w:noProof/>
          <w:sz w:val="24"/>
          <w:szCs w:val="24"/>
        </w:rPr>
        <w:t>[12]</w:t>
      </w:r>
      <w:r>
        <w:rPr>
          <w:rFonts w:ascii="Times New Roman" w:hAnsi="Times New Roman" w:cs="Times New Roman"/>
          <w:noProof/>
          <w:sz w:val="24"/>
          <w:szCs w:val="24"/>
        </w:rPr>
        <w:tab/>
        <w:t>A. Missaoui, S. Bostyn, V. Belandria, B. Cagnon, B. Sarh, I. Gökalp, Hydrothermal carbonization of dried olive pomace: Energy potential and process performances, J. Anal. Appl. Pyrolysis. 128 (2017) 281–290. https://doi.org/10.1016/j.jaap.2017.09.022.</w:t>
      </w:r>
    </w:p>
    <w:p>
      <w:pPr>
        <w:spacing w:after="0" w:line="36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fldChar w:fldCharType="end"/>
      </w:r>
    </w:p>
    <w:p>
      <w:pPr>
        <w:spacing w:after="0" w:line="360" w:lineRule="auto"/>
        <w:jc w:val="both"/>
        <w:rPr>
          <w:rFonts w:ascii="Times New Roman" w:hAnsi="Times New Roman" w:cs="Times New Roman"/>
          <w:iCs/>
          <w:sz w:val="24"/>
          <w:szCs w:val="24"/>
          <w:lang w:val="en-GB"/>
        </w:rPr>
      </w:pPr>
    </w:p>
    <w:sect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pPr>
        <w:spacing w:after="0" w:line="240" w:lineRule="auto"/>
      </w:pPr>
      <w:r>
        <w:separator/>
      </w:r>
    </w:p>
  </w:endnote>
  <w:endnote w:type="continuationSeparator" w:id="0">
    <w:p>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4203795"/>
      <w:docPartObj>
        <w:docPartGallery w:val="Page Numbers (Bottom of Page)"/>
        <w:docPartUnique/>
      </w:docPartObj>
    </w:sdtPr>
    <w:sdtEndPr>
      <w:rPr>
        <w:noProof/>
      </w:rPr>
    </w:sdtEndPr>
    <w:sdtContent>
      <w:p>
        <w:pPr>
          <w:pStyle w:val="Footer"/>
          <w:jc w:val="right"/>
        </w:pPr>
        <w:r>
          <w:t>S</w:t>
        </w:r>
        <w:r>
          <w:fldChar w:fldCharType="begin"/>
        </w:r>
        <w:r>
          <w:instrText xml:space="preserve"> PAGE   \* MERGEFORMAT </w:instrText>
        </w:r>
        <w:r>
          <w:fldChar w:fldCharType="separate"/>
        </w:r>
        <w:r>
          <w:rPr>
            <w:noProof/>
          </w:rPr>
          <w:t>2</w:t>
        </w:r>
        <w:r>
          <w:rPr>
            <w:noProof/>
          </w:rPr>
          <w:fldChar w:fldCharType="end"/>
        </w:r>
      </w:p>
    </w:sdtContent>
  </w:sdt>
  <w:p>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pPr>
        <w:spacing w:after="0" w:line="240" w:lineRule="auto"/>
      </w:pPr>
      <w:r>
        <w:separator/>
      </w:r>
    </w:p>
  </w:footnote>
  <w:footnote w:type="continuationSeparator" w:id="0">
    <w:p>
      <w:pPr>
        <w:spacing w:after="0" w:line="240" w:lineRule="auto"/>
      </w:pPr>
      <w:r>
        <w:continuationSeparator/>
      </w:r>
    </w:p>
  </w:footnote>
  <w:footnote w:id="1">
    <w:p>
      <w:pPr>
        <w:spacing w:after="0" w:line="360" w:lineRule="auto"/>
        <w:jc w:val="both"/>
        <w:rPr>
          <w:rFonts w:ascii="Times New Roman" w:hAnsi="Times New Roman" w:cs="Times New Roman"/>
          <w:sz w:val="24"/>
          <w:szCs w:val="24"/>
          <w:lang w:val="en-GB"/>
        </w:rPr>
      </w:pPr>
      <w:r>
        <w:rPr>
          <w:rStyle w:val="FootnoteReference"/>
        </w:rPr>
        <w:sym w:font="Symbol" w:char="F02A"/>
      </w:r>
      <w:r>
        <w:rPr>
          <w:rFonts w:ascii="Times New Roman" w:hAnsi="Times New Roman" w:cs="Times New Roman"/>
          <w:sz w:val="24"/>
          <w:szCs w:val="24"/>
          <w:lang w:val="en-GB"/>
        </w:rPr>
        <w:t>Corresponding authors:</w:t>
      </w:r>
    </w:p>
    <w:p>
      <w:pPr>
        <w:shd w:val="clear" w:color="auto" w:fill="FFFFFF"/>
        <w:spacing w:after="0" w:line="360" w:lineRule="auto"/>
        <w:rPr>
          <w:sz w:val="24"/>
          <w:szCs w:val="24"/>
          <w:lang w:val="en-GB"/>
        </w:rPr>
      </w:pPr>
      <w:r>
        <w:rPr>
          <w:rFonts w:ascii="Times New Roman" w:hAnsi="Times New Roman" w:cs="Times New Roman"/>
          <w:i/>
          <w:sz w:val="24"/>
          <w:szCs w:val="24"/>
          <w:lang w:val="en-GB"/>
        </w:rPr>
        <w:t xml:space="preserve">E-mail address: </w:t>
      </w:r>
      <w:r>
        <w:rPr>
          <w:rFonts w:ascii="Times New Roman" w:hAnsi="Times New Roman" w:cs="Times New Roman"/>
          <w:sz w:val="24"/>
          <w:szCs w:val="24"/>
          <w:lang w:val="en-GB"/>
        </w:rPr>
        <w:t>andrii.kostyniuk@ki.si (</w:t>
      </w:r>
      <w:r>
        <w:rPr>
          <w:rFonts w:ascii="Times New Roman" w:hAnsi="Times New Roman" w:cs="Times New Roman"/>
          <w:color w:val="000000"/>
          <w:sz w:val="24"/>
          <w:szCs w:val="24"/>
          <w:lang w:val="en-GB"/>
        </w:rPr>
        <w:t>Andrii Kostyniuk</w:t>
      </w:r>
      <w:r>
        <w:rPr>
          <w:rFonts w:ascii="Times New Roman" w:hAnsi="Times New Roman" w:cs="Times New Roman"/>
          <w:sz w:val="24"/>
          <w:szCs w:val="24"/>
          <w:lang w:val="en-GB"/>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TGyMDI3MjA2MzAzMDFR0lEKTi0uzszPAykwrwUAzotVACwAAAA="/>
  </w:docVar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671F7BF-501E-488A-A390-FB616DC49B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ru-RU"/>
    </w:rPr>
  </w:style>
  <w:style w:type="character" w:customStyle="1" w:styleId="HTMLPreformattedChar">
    <w:name w:val="HTML Preformatted Char"/>
    <w:basedOn w:val="DefaultParagraphFont"/>
    <w:link w:val="HTMLPreformatted"/>
    <w:rPr>
      <w:rFonts w:ascii="Courier New" w:eastAsia="Times New Roman" w:hAnsi="Courier New" w:cs="Courier New"/>
      <w:sz w:val="20"/>
      <w:szCs w:val="20"/>
      <w:lang w:val="en-GB" w:eastAsia="ru-RU"/>
    </w:rPr>
  </w:style>
  <w:style w:type="character" w:styleId="FootnoteReference">
    <w:name w:val="footnote reference"/>
    <w:uiPriority w:val="99"/>
    <w:rPr>
      <w:vertAlign w:val="superscript"/>
    </w:rPr>
  </w:style>
  <w:style w:type="paragraph" w:styleId="Footer">
    <w:name w:val="footer"/>
    <w:basedOn w:val="Normal"/>
    <w:link w:val="FooterChar"/>
    <w:uiPriority w:val="99"/>
    <w:unhideWhenUsed/>
    <w:pPr>
      <w:tabs>
        <w:tab w:val="center" w:pos="4677"/>
        <w:tab w:val="right" w:pos="9355"/>
      </w:tabs>
      <w:spacing w:after="0" w:line="240" w:lineRule="auto"/>
    </w:pPr>
    <w:rPr>
      <w:rFonts w:eastAsiaTheme="minorEastAsia"/>
      <w:lang w:val="en-GB" w:eastAsia="zh-CN"/>
    </w:rPr>
  </w:style>
  <w:style w:type="character" w:customStyle="1" w:styleId="FooterChar">
    <w:name w:val="Footer Char"/>
    <w:basedOn w:val="DefaultParagraphFont"/>
    <w:link w:val="Footer"/>
    <w:uiPriority w:val="99"/>
    <w:rPr>
      <w:rFonts w:eastAsiaTheme="minorEastAsia"/>
      <w:lang w:val="en-GB" w:eastAsia="zh-CN"/>
    </w:rPr>
  </w:style>
  <w:style w:type="table" w:styleId="TableGrid">
    <w:name w:val="Table Grid"/>
    <w:basedOn w:val="TableNormal"/>
    <w:uiPriority w:val="39"/>
    <w:pPr>
      <w:spacing w:after="0" w:line="240" w:lineRule="auto"/>
    </w:pPr>
    <w:rPr>
      <w:lang w:val="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NoSpacing">
    <w:name w:val="No Spacing"/>
    <w:uiPriority w:val="1"/>
    <w:qFormat/>
    <w:pPr>
      <w:spacing w:after="0" w:line="240" w:lineRule="auto"/>
    </w:pPr>
    <w:rPr>
      <w:lang w:val="sl-SI"/>
    </w:rPr>
  </w:style>
  <w:style w:type="table" w:styleId="ListTable6Colorful">
    <w:name w:val="List Table 6 Colorful"/>
    <w:basedOn w:val="TableNormal"/>
    <w:uiPriority w:val="51"/>
    <w:pPr>
      <w:spacing w:after="0" w:line="240" w:lineRule="auto"/>
    </w:pPr>
    <w:rPr>
      <w:color w:val="000000" w:themeColor="text1"/>
      <w:lang w:val="sl-SI"/>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EndnoteReference">
    <w:name w:val="endnote reference"/>
    <w:basedOn w:val="DefaultParagraphFont"/>
    <w:uiPriority w:val="99"/>
    <w:semiHidden/>
    <w:unhideWhenUse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53F387-6FEC-489A-AB57-9542F028CD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TotalTime>
  <Pages>1</Pages>
  <Words>6139</Words>
  <Characters>34997</Characters>
  <Application>Microsoft Office Word</Application>
  <DocSecurity>0</DocSecurity>
  <Lines>291</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Andrii Kostyniuk</dc:creator>
  <cp:keywords/>
  <dc:description/>
  <cp:lastModifiedBy>Andrii Kostyniuk</cp:lastModifiedBy>
  <cp:revision>33</cp:revision>
  <dcterms:created xsi:type="dcterms:W3CDTF">2023-10-19T16:24:00Z</dcterms:created>
  <dcterms:modified xsi:type="dcterms:W3CDTF">2024-02-19T13:53:00Z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http://www.zotero.org/styles/applied-catalysis-b-environmental</vt:lpwstr>
  </property>
  <property fmtid="{D5CDD505-2E9C-101B-9397-08002B2CF9AE}" pid="3" name="Mendeley Recent Style Name 0_1">
    <vt:lpwstr>Applied Catalysis B: Environmental</vt:lpwstr>
  </property>
  <property fmtid="{D5CDD505-2E9C-101B-9397-08002B2CF9AE}" pid="4" name="Mendeley Recent Style Id 1_1">
    <vt:lpwstr>http://www.zotero.org/styles/chem-catalysis</vt:lpwstr>
  </property>
  <property fmtid="{D5CDD505-2E9C-101B-9397-08002B2CF9AE}" pid="5" name="Mendeley Recent Style Name 1_1">
    <vt:lpwstr>Chem Catalysis</vt:lpwstr>
  </property>
  <property fmtid="{D5CDD505-2E9C-101B-9397-08002B2CF9AE}" pid="6" name="Mendeley Recent Style Id 2_1">
    <vt:lpwstr>http://www.zotero.org/styles/chemical-engineering-journal</vt:lpwstr>
  </property>
  <property fmtid="{D5CDD505-2E9C-101B-9397-08002B2CF9AE}" pid="7" name="Mendeley Recent Style Name 2_1">
    <vt:lpwstr>Chemical Engineering Journal</vt:lpwstr>
  </property>
  <property fmtid="{D5CDD505-2E9C-101B-9397-08002B2CF9AE}" pid="8" name="Mendeley Recent Style Id 3_1">
    <vt:lpwstr>http://www.zotero.org/styles/harvard1</vt:lpwstr>
  </property>
  <property fmtid="{D5CDD505-2E9C-101B-9397-08002B2CF9AE}" pid="9" name="Mendeley Recent Style Name 3_1">
    <vt:lpwstr>Harvard reference format 1 (deprecated)</vt:lpwstr>
  </property>
  <property fmtid="{D5CDD505-2E9C-101B-9397-08002B2CF9AE}" pid="10" name="Mendeley Recent Style Id 4_1">
    <vt:lpwstr>http://www.zotero.org/styles/journal-of-cleaner-production</vt:lpwstr>
  </property>
  <property fmtid="{D5CDD505-2E9C-101B-9397-08002B2CF9AE}" pid="11" name="Mendeley Recent Style Name 4_1">
    <vt:lpwstr>Journal of Cleaner Production</vt:lpwstr>
  </property>
  <property fmtid="{D5CDD505-2E9C-101B-9397-08002B2CF9AE}" pid="12" name="Mendeley Recent Style Id 5_1">
    <vt:lpwstr>http://www.zotero.org/styles/journal-of-the-american-chemical-society</vt:lpwstr>
  </property>
  <property fmtid="{D5CDD505-2E9C-101B-9397-08002B2CF9AE}" pid="13" name="Mendeley Recent Style Name 5_1">
    <vt:lpwstr>Journal of the American Chemical Society</vt:lpwstr>
  </property>
  <property fmtid="{D5CDD505-2E9C-101B-9397-08002B2CF9AE}" pid="14" name="Mendeley Recent Style Id 6_1">
    <vt:lpwstr>http://www.zotero.org/styles/nature</vt:lpwstr>
  </property>
  <property fmtid="{D5CDD505-2E9C-101B-9397-08002B2CF9AE}" pid="15" name="Mendeley Recent Style Name 6_1">
    <vt:lpwstr>Nature</vt:lpwstr>
  </property>
  <property fmtid="{D5CDD505-2E9C-101B-9397-08002B2CF9AE}" pid="16" name="Mendeley Recent Style Id 7_1">
    <vt:lpwstr>http://www.zotero.org/styles/nature-chemistry</vt:lpwstr>
  </property>
  <property fmtid="{D5CDD505-2E9C-101B-9397-08002B2CF9AE}" pid="17" name="Mendeley Recent Style Name 7_1">
    <vt:lpwstr>Nature Chemistry</vt:lpwstr>
  </property>
  <property fmtid="{D5CDD505-2E9C-101B-9397-08002B2CF9AE}" pid="18" name="Mendeley Recent Style Id 8_1">
    <vt:lpwstr>http://www.zotero.org/styles/nature-communications</vt:lpwstr>
  </property>
  <property fmtid="{D5CDD505-2E9C-101B-9397-08002B2CF9AE}" pid="19" name="Mendeley Recent Style Name 8_1">
    <vt:lpwstr>Nature Communications</vt:lpwstr>
  </property>
  <property fmtid="{D5CDD505-2E9C-101B-9397-08002B2CF9AE}" pid="20" name="Mendeley Recent Style Id 9_1">
    <vt:lpwstr>http://www.zotero.org/styles/renewable-energy</vt:lpwstr>
  </property>
  <property fmtid="{D5CDD505-2E9C-101B-9397-08002B2CF9AE}" pid="21" name="Mendeley Recent Style Name 9_1">
    <vt:lpwstr>Renewable Energy</vt:lpwstr>
  </property>
  <property fmtid="{D5CDD505-2E9C-101B-9397-08002B2CF9AE}" pid="22" name="Mendeley Document_1">
    <vt:lpwstr>True</vt:lpwstr>
  </property>
  <property fmtid="{D5CDD505-2E9C-101B-9397-08002B2CF9AE}" pid="23" name="Mendeley Unique User Id_1">
    <vt:lpwstr>646a71f3-25d9-3816-83ea-d4c75b95823b</vt:lpwstr>
  </property>
  <property fmtid="{D5CDD505-2E9C-101B-9397-08002B2CF9AE}" pid="24" name="Mendeley Citation Style_1">
    <vt:lpwstr>http://www.zotero.org/styles/renewable-energy</vt:lpwstr>
  </property>
</Properties>
</file>