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pPr>
        <w:pStyle w:val="Footer"/>
        <w:shd w:val="clear" w:color="auto" w:fill="FFFFFF"/>
        <w:spacing w:line="480" w:lineRule="auto"/>
        <w:jc w:val="center"/>
        <w:rPr>
          <w:rFonts w:ascii="Times New Roman" w:hAnsi="Times New Roman" w:cs="Times New Roman"/>
          <w:b/>
          <w:bCs/>
          <w:kern w:val="36"/>
          <w:sz w:val="28"/>
          <w:szCs w:val="24"/>
        </w:rPr>
      </w:pPr>
      <w:r>
        <w:rPr>
          <w:rFonts w:ascii="Times New Roman" w:hAnsi="Times New Roman" w:cs="Times New Roman"/>
          <w:b/>
          <w:bCs/>
          <w:kern w:val="36"/>
          <w:sz w:val="28"/>
          <w:szCs w:val="24"/>
        </w:rPr>
        <w:t>Supplementary Information</w:t>
      </w:r>
    </w:p>
    <w:p>
      <w:pPr>
        <w:pStyle w:val="Footer"/>
        <w:shd w:val="clear" w:color="auto" w:fill="FFFFFF"/>
        <w:spacing w:line="480" w:lineRule="auto"/>
        <w:rPr>
          <w:rFonts w:ascii="Times New Roman" w:hAnsi="Times New Roman" w:cs="Times New Roman"/>
          <w:kern w:val="36"/>
          <w:sz w:val="28"/>
          <w:szCs w:val="24"/>
        </w:rPr>
      </w:pPr>
    </w:p>
    <w:p>
      <w:pPr>
        <w:pStyle w:val="Footer"/>
        <w:shd w:val="clear" w:color="auto" w:fill="FFFFFF"/>
        <w:spacing w:line="480" w:lineRule="auto"/>
        <w:jc w:val="both"/>
        <w:rPr>
          <w:rFonts w:ascii="Times New Roman" w:hAnsi="Times New Roman" w:cs="Times New Roman"/>
          <w:kern w:val="36"/>
          <w:sz w:val="28"/>
          <w:szCs w:val="28"/>
        </w:rPr>
      </w:pPr>
      <w:r>
        <w:rPr>
          <w:rFonts w:ascii="Times New Roman" w:hAnsi="Times New Roman" w:cs="Times New Roman"/>
          <w:kern w:val="36"/>
          <w:sz w:val="28"/>
          <w:szCs w:val="28"/>
        </w:rPr>
        <w:t xml:space="preserve">Dry torrefaction of biomass waste into high-energy biochar and selective formation of </w:t>
      </w:r>
      <w:proofErr w:type="spellStart"/>
      <w:r>
        <w:rPr>
          <w:rFonts w:ascii="Times New Roman" w:hAnsi="Times New Roman" w:cs="Times New Roman"/>
          <w:kern w:val="36"/>
          <w:sz w:val="28"/>
          <w:szCs w:val="28"/>
        </w:rPr>
        <w:t>levoglucosenone</w:t>
      </w:r>
      <w:proofErr w:type="spellEnd"/>
      <w:r>
        <w:rPr>
          <w:rFonts w:ascii="Times New Roman" w:hAnsi="Times New Roman" w:cs="Times New Roman"/>
          <w:kern w:val="36"/>
          <w:sz w:val="28"/>
          <w:szCs w:val="28"/>
        </w:rPr>
        <w:t xml:space="preserve"> and 1,4:3,6-dianhydro-α-D-glucopyranose</w:t>
      </w:r>
    </w:p>
    <w:p>
      <w:pPr>
        <w:pStyle w:val="Footer"/>
        <w:shd w:val="clear" w:color="auto" w:fill="FFFFFF"/>
        <w:spacing w:line="480" w:lineRule="auto"/>
        <w:rPr>
          <w:rFonts w:ascii="Times New Roman" w:hAnsi="Times New Roman" w:cs="Times New Roman"/>
          <w:kern w:val="36"/>
          <w:sz w:val="28"/>
          <w:szCs w:val="24"/>
        </w:rPr>
      </w:pPr>
    </w:p>
    <w:p>
      <w:pPr>
        <w:pStyle w:val="HTMLPreformatted"/>
        <w:shd w:val="clear" w:color="auto" w:fill="FFFFFF"/>
        <w:spacing w:line="480" w:lineRule="auto"/>
        <w:rPr>
          <w:rFonts w:ascii="Times New Roman" w:hAnsi="Times New Roman" w:cs="Times New Roman"/>
          <w:color w:val="000000"/>
          <w:sz w:val="24"/>
          <w:szCs w:val="24"/>
        </w:rPr>
      </w:pPr>
      <w:bookmarkStart w:id="0" w:name="_Hlk105066656"/>
      <w:r>
        <w:rPr>
          <w:rFonts w:ascii="Times New Roman" w:hAnsi="Times New Roman" w:cs="Times New Roman"/>
          <w:color w:val="000000"/>
          <w:sz w:val="24"/>
          <w:szCs w:val="24"/>
        </w:rPr>
        <w:t>Andrii Kostyniuk</w:t>
      </w:r>
      <w:r>
        <w:rPr>
          <w:rStyle w:val="FootnoteReference"/>
        </w:rPr>
        <w:footnoteReference w:customMarkFollows="1" w:id="1"/>
        <w:sym w:font="Symbol" w:char="F02A"/>
      </w:r>
      <w:r>
        <w:rPr>
          <w:rFonts w:ascii="Times New Roman" w:hAnsi="Times New Roman" w:cs="Times New Roman"/>
          <w:color w:val="000000"/>
          <w:sz w:val="24"/>
          <w:szCs w:val="24"/>
        </w:rPr>
        <w:t xml:space="preserve">, </w:t>
      </w:r>
      <w:r>
        <w:rPr>
          <w:rFonts w:ascii="Times New Roman" w:hAnsi="Times New Roman" w:cs="Times New Roman"/>
          <w:sz w:val="24"/>
          <w:szCs w:val="24"/>
        </w:rPr>
        <w:t>Blaž Likozar</w:t>
      </w:r>
    </w:p>
    <w:p>
      <w:pPr>
        <w:spacing w:after="0" w:line="480" w:lineRule="auto"/>
        <w:jc w:val="both"/>
        <w:rPr>
          <w:rFonts w:ascii="Times New Roman" w:hAnsi="Times New Roman" w:cs="Times New Roman"/>
          <w:i/>
          <w:sz w:val="24"/>
          <w:szCs w:val="24"/>
          <w:lang w:val="en-GB"/>
        </w:rPr>
      </w:pPr>
      <w:r>
        <w:rPr>
          <w:rFonts w:ascii="Times New Roman" w:hAnsi="Times New Roman" w:cs="Times New Roman"/>
          <w:i/>
          <w:sz w:val="24"/>
          <w:szCs w:val="24"/>
          <w:lang w:val="en-GB"/>
        </w:rPr>
        <w:t xml:space="preserve">Department of Catalysis and Chemical Reaction Engineering, National Institute of Chemistry, </w:t>
      </w:r>
      <w:proofErr w:type="spellStart"/>
      <w:r>
        <w:rPr>
          <w:rFonts w:ascii="Times New Roman" w:hAnsi="Times New Roman" w:cs="Times New Roman"/>
          <w:i/>
          <w:sz w:val="24"/>
          <w:szCs w:val="24"/>
          <w:lang w:val="en-GB"/>
        </w:rPr>
        <w:t>Hajdrihova</w:t>
      </w:r>
      <w:proofErr w:type="spellEnd"/>
      <w:r>
        <w:rPr>
          <w:rFonts w:ascii="Times New Roman" w:hAnsi="Times New Roman" w:cs="Times New Roman"/>
          <w:i/>
          <w:sz w:val="24"/>
          <w:szCs w:val="24"/>
          <w:lang w:val="en-GB"/>
        </w:rPr>
        <w:t xml:space="preserve"> 19, Ljubljana, 1001, Slovenia</w:t>
      </w:r>
      <w:bookmarkEnd w:id="0"/>
    </w:p>
    <w:p>
      <w:pPr>
        <w:spacing w:after="0" w:line="480" w:lineRule="auto"/>
        <w:jc w:val="both"/>
        <w:rPr>
          <w:rFonts w:ascii="Times New Roman" w:hAnsi="Times New Roman" w:cs="Times New Roman"/>
          <w:b/>
          <w:bCs/>
          <w:iCs/>
          <w:sz w:val="24"/>
          <w:szCs w:val="24"/>
          <w:lang w:val="en-GB"/>
        </w:rPr>
      </w:pPr>
    </w:p>
    <w:p>
      <w:pPr>
        <w:spacing w:after="0" w:line="480" w:lineRule="auto"/>
        <w:jc w:val="both"/>
        <w:rPr>
          <w:rFonts w:ascii="Times New Roman" w:hAnsi="Times New Roman" w:cs="Times New Roman"/>
          <w:b/>
          <w:bCs/>
          <w:iCs/>
          <w:sz w:val="24"/>
          <w:szCs w:val="24"/>
          <w:lang w:val="en-GB"/>
        </w:rPr>
        <w:sectPr>
          <w:footerReference w:type="default" r:id="rId7"/>
          <w:pgSz w:w="12240" w:h="15840"/>
          <w:pgMar w:top="1440" w:right="1440" w:bottom="1440" w:left="1440" w:header="720" w:footer="720" w:gutter="0"/>
          <w:cols w:space="720"/>
          <w:docGrid w:linePitch="360"/>
        </w:sectPr>
      </w:pPr>
    </w:p>
    <w:p>
      <w:pPr>
        <w:spacing w:after="0" w:line="480" w:lineRule="auto"/>
        <w:jc w:val="both"/>
        <w:rPr>
          <w:rFonts w:ascii="Times New Roman" w:hAnsi="Times New Roman" w:cs="Times New Roman"/>
          <w:b/>
          <w:bCs/>
          <w:sz w:val="24"/>
          <w:szCs w:val="24"/>
          <w:lang w:val="en-GB"/>
        </w:rPr>
      </w:pPr>
      <w:r>
        <w:rPr>
          <w:rFonts w:ascii="Times New Roman" w:hAnsi="Times New Roman" w:cs="Times New Roman"/>
          <w:b/>
          <w:bCs/>
          <w:sz w:val="24"/>
          <w:szCs w:val="24"/>
          <w:lang w:val="en-GB"/>
        </w:rPr>
        <w:lastRenderedPageBreak/>
        <w:t>S2.1. Materials</w:t>
      </w:r>
    </w:p>
    <w:p>
      <w:pPr>
        <w:spacing w:after="0" w:line="480" w:lineRule="auto"/>
        <w:jc w:val="both"/>
        <w:rPr>
          <w:rFonts w:ascii="Times New Roman" w:hAnsi="Times New Roman" w:cs="Times New Roman"/>
          <w:sz w:val="24"/>
          <w:szCs w:val="24"/>
          <w:lang w:val="en-GB"/>
        </w:rPr>
      </w:pPr>
    </w:p>
    <w:p>
      <w:pPr>
        <w:spacing w:after="0" w:line="480" w:lineRule="auto"/>
        <w:ind w:firstLine="709"/>
        <w:jc w:val="both"/>
        <w:rPr>
          <w:rFonts w:ascii="Times New Roman" w:eastAsiaTheme="minorEastAsia" w:hAnsi="Times New Roman" w:cs="Times New Roman"/>
          <w:sz w:val="24"/>
          <w:szCs w:val="24"/>
          <w:lang w:val="en-GB" w:eastAsia="zh-CN"/>
        </w:rPr>
      </w:pPr>
      <w:r>
        <w:rPr>
          <w:rFonts w:ascii="Times New Roman" w:eastAsiaTheme="minorEastAsia" w:hAnsi="Times New Roman" w:cs="Times New Roman"/>
          <w:sz w:val="24"/>
          <w:szCs w:val="24"/>
          <w:lang w:val="en-GB" w:eastAsia="zh-CN"/>
        </w:rPr>
        <w:t xml:space="preserve">All chemical reactants, calibration standards, and gases were procured commercially and used as received without the need for further purification. The specific chemicals and their respective sources are as follows: 5-hydroxymethylfurfural (&gt;97 </w:t>
      </w:r>
      <w:proofErr w:type="spellStart"/>
      <w:r>
        <w:rPr>
          <w:rFonts w:ascii="Times New Roman" w:eastAsiaTheme="minorEastAsia" w:hAnsi="Times New Roman" w:cs="Times New Roman"/>
          <w:sz w:val="24"/>
          <w:szCs w:val="24"/>
          <w:lang w:val="en-GB" w:eastAsia="zh-CN"/>
        </w:rPr>
        <w:t>wt</w:t>
      </w:r>
      <w:proofErr w:type="spellEnd"/>
      <w:r>
        <w:rPr>
          <w:rFonts w:ascii="Times New Roman" w:eastAsiaTheme="minorEastAsia" w:hAnsi="Times New Roman" w:cs="Times New Roman"/>
          <w:sz w:val="24"/>
          <w:szCs w:val="24"/>
          <w:lang w:val="en-GB" w:eastAsia="zh-CN"/>
        </w:rPr>
        <w:t xml:space="preserve">%, </w:t>
      </w:r>
      <w:proofErr w:type="spellStart"/>
      <w:r>
        <w:rPr>
          <w:rFonts w:ascii="Times New Roman" w:eastAsiaTheme="minorEastAsia" w:hAnsi="Times New Roman" w:cs="Times New Roman"/>
          <w:sz w:val="24"/>
          <w:szCs w:val="24"/>
          <w:lang w:val="en-GB" w:eastAsia="zh-CN"/>
        </w:rPr>
        <w:t>Carbosynth</w:t>
      </w:r>
      <w:proofErr w:type="spellEnd"/>
      <w:r>
        <w:rPr>
          <w:rFonts w:ascii="Times New Roman" w:eastAsiaTheme="minorEastAsia" w:hAnsi="Times New Roman" w:cs="Times New Roman"/>
          <w:sz w:val="24"/>
          <w:szCs w:val="24"/>
          <w:lang w:val="en-GB" w:eastAsia="zh-CN"/>
        </w:rPr>
        <w:t xml:space="preserve">, reference number FH10853), 5-methylfurfural (99 </w:t>
      </w:r>
      <w:proofErr w:type="spellStart"/>
      <w:r>
        <w:rPr>
          <w:rFonts w:ascii="Times New Roman" w:eastAsiaTheme="minorEastAsia" w:hAnsi="Times New Roman" w:cs="Times New Roman"/>
          <w:sz w:val="24"/>
          <w:szCs w:val="24"/>
          <w:lang w:val="en-GB" w:eastAsia="zh-CN"/>
        </w:rPr>
        <w:t>wt</w:t>
      </w:r>
      <w:proofErr w:type="spellEnd"/>
      <w:r>
        <w:rPr>
          <w:rFonts w:ascii="Times New Roman" w:eastAsiaTheme="minorEastAsia" w:hAnsi="Times New Roman" w:cs="Times New Roman"/>
          <w:sz w:val="24"/>
          <w:szCs w:val="24"/>
          <w:lang w:val="en-GB" w:eastAsia="zh-CN"/>
        </w:rPr>
        <w:t xml:space="preserve">%, Sigma Aldrich), furfural (&gt;99 </w:t>
      </w:r>
      <w:proofErr w:type="spellStart"/>
      <w:r>
        <w:rPr>
          <w:rFonts w:ascii="Times New Roman" w:eastAsiaTheme="minorEastAsia" w:hAnsi="Times New Roman" w:cs="Times New Roman"/>
          <w:sz w:val="24"/>
          <w:szCs w:val="24"/>
          <w:lang w:val="en-GB" w:eastAsia="zh-CN"/>
        </w:rPr>
        <w:t>wt</w:t>
      </w:r>
      <w:proofErr w:type="spellEnd"/>
      <w:r>
        <w:rPr>
          <w:rFonts w:ascii="Times New Roman" w:eastAsiaTheme="minorEastAsia" w:hAnsi="Times New Roman" w:cs="Times New Roman"/>
          <w:sz w:val="24"/>
          <w:szCs w:val="24"/>
          <w:lang w:val="en-GB" w:eastAsia="zh-CN"/>
        </w:rPr>
        <w:t xml:space="preserve">%, Sigma Aldrich), ethanol (&gt;99.8%, Sigma Aldrich), methanol (&gt;99.9%, Sigma Aldrich), </w:t>
      </w:r>
      <w:proofErr w:type="spellStart"/>
      <w:r>
        <w:rPr>
          <w:rFonts w:ascii="Times New Roman" w:eastAsiaTheme="minorEastAsia" w:hAnsi="Times New Roman" w:cs="Times New Roman"/>
          <w:sz w:val="24"/>
          <w:szCs w:val="24"/>
          <w:lang w:val="en-GB" w:eastAsia="zh-CN"/>
        </w:rPr>
        <w:t>hydroxyacetone</w:t>
      </w:r>
      <w:proofErr w:type="spellEnd"/>
      <w:r>
        <w:rPr>
          <w:rFonts w:ascii="Times New Roman" w:eastAsiaTheme="minorEastAsia" w:hAnsi="Times New Roman" w:cs="Times New Roman"/>
          <w:sz w:val="24"/>
          <w:szCs w:val="24"/>
          <w:lang w:val="en-GB" w:eastAsia="zh-CN"/>
        </w:rPr>
        <w:t xml:space="preserve"> (99.5%, Sigma Aldrich), </w:t>
      </w:r>
      <w:proofErr w:type="spellStart"/>
      <w:r>
        <w:rPr>
          <w:rFonts w:ascii="Times New Roman" w:eastAsiaTheme="minorEastAsia" w:hAnsi="Times New Roman" w:cs="Times New Roman"/>
          <w:sz w:val="24"/>
          <w:szCs w:val="24"/>
          <w:lang w:val="en-GB" w:eastAsia="zh-CN"/>
        </w:rPr>
        <w:t>levulinic</w:t>
      </w:r>
      <w:proofErr w:type="spellEnd"/>
      <w:r>
        <w:rPr>
          <w:rFonts w:ascii="Times New Roman" w:eastAsiaTheme="minorEastAsia" w:hAnsi="Times New Roman" w:cs="Times New Roman"/>
          <w:sz w:val="24"/>
          <w:szCs w:val="24"/>
          <w:lang w:val="en-GB" w:eastAsia="zh-CN"/>
        </w:rPr>
        <w:t xml:space="preserve"> acid (99.5%, Sigma Aldrich), guaiacol (99.5%, Sigma Aldrich), 2,3-butanedione (99%, Sigma Aldrich), phenol (≥98.5%, Sigma Aldrich), 2-butanone (99.5%, Sigma Aldrich), acetone (&gt;99.5%, Sigma Aldrich), acetoin (&gt;99.5%, Sigma Aldrich), acetic acid (&gt;99.7%, Sigma Aldrich), cyclopentenone (&gt;99%, Sigma Aldrich), acetylacetone (&gt;99%, Sigma Aldrich), 2,5-hexanedione (&gt;99.5%, Sigma Aldrich), hydrogen (5.0, Messer, Germany), nitrogen (5.0, Messer, Germany), helium (5.0 Messer, Germany). The feedstock, denoted as WCPR ‒ </w:t>
      </w:r>
      <w:r>
        <w:rPr>
          <w:rFonts w:ascii="Times New Roman" w:hAnsi="Times New Roman" w:cs="Times New Roman"/>
          <w:sz w:val="24"/>
          <w:szCs w:val="24"/>
          <w:lang w:val="en-GB"/>
        </w:rPr>
        <w:t>wood cellulose pulp residue</w:t>
      </w:r>
      <w:r>
        <w:rPr>
          <w:rFonts w:ascii="Times New Roman" w:eastAsiaTheme="minorEastAsia" w:hAnsi="Times New Roman" w:cs="Times New Roman"/>
          <w:sz w:val="24"/>
          <w:szCs w:val="24"/>
          <w:lang w:val="en-GB" w:eastAsia="zh-CN"/>
        </w:rPr>
        <w:t xml:space="preserve">, was obtained from the biotechnology company </w:t>
      </w:r>
      <w:proofErr w:type="spellStart"/>
      <w:r>
        <w:rPr>
          <w:rFonts w:ascii="Times New Roman" w:eastAsiaTheme="minorEastAsia" w:hAnsi="Times New Roman" w:cs="Times New Roman"/>
          <w:sz w:val="24"/>
          <w:szCs w:val="24"/>
          <w:lang w:val="en-GB" w:eastAsia="zh-CN"/>
        </w:rPr>
        <w:t>Vertoro</w:t>
      </w:r>
      <w:proofErr w:type="spellEnd"/>
      <w:r>
        <w:rPr>
          <w:rFonts w:ascii="Times New Roman" w:eastAsiaTheme="minorEastAsia" w:hAnsi="Times New Roman" w:cs="Times New Roman"/>
          <w:sz w:val="24"/>
          <w:szCs w:val="24"/>
          <w:lang w:val="en-GB" w:eastAsia="zh-CN"/>
        </w:rPr>
        <w:t xml:space="preserve"> (</w:t>
      </w:r>
      <w:proofErr w:type="spellStart"/>
      <w:r>
        <w:rPr>
          <w:rFonts w:ascii="Times New Roman" w:eastAsiaTheme="minorEastAsia" w:hAnsi="Times New Roman" w:cs="Times New Roman"/>
          <w:sz w:val="24"/>
          <w:szCs w:val="24"/>
          <w:lang w:val="en-GB" w:eastAsia="zh-CN"/>
        </w:rPr>
        <w:t>Geleen</w:t>
      </w:r>
      <w:proofErr w:type="spellEnd"/>
      <w:r>
        <w:rPr>
          <w:rFonts w:ascii="Times New Roman" w:eastAsiaTheme="minorEastAsia" w:hAnsi="Times New Roman" w:cs="Times New Roman"/>
          <w:sz w:val="24"/>
          <w:szCs w:val="24"/>
          <w:lang w:val="en-GB" w:eastAsia="zh-CN"/>
        </w:rPr>
        <w:t xml:space="preserve">, Netherlands), and its composition is detailed in </w:t>
      </w:r>
      <w:r>
        <w:rPr>
          <w:rFonts w:ascii="Times New Roman" w:eastAsiaTheme="minorEastAsia" w:hAnsi="Times New Roman" w:cs="Times New Roman"/>
          <w:b/>
          <w:bCs/>
          <w:sz w:val="24"/>
          <w:szCs w:val="24"/>
          <w:lang w:val="en-GB" w:eastAsia="zh-CN"/>
        </w:rPr>
        <w:t>Table S1.</w:t>
      </w:r>
    </w:p>
    <w:p>
      <w:pPr>
        <w:rPr>
          <w:rFonts w:ascii="Times New Roman" w:eastAsiaTheme="minorEastAsia" w:hAnsi="Times New Roman" w:cs="Times New Roman"/>
          <w:sz w:val="24"/>
          <w:szCs w:val="24"/>
          <w:lang w:val="en-GB" w:eastAsia="zh-CN"/>
        </w:rPr>
      </w:pPr>
      <w:r>
        <w:rPr>
          <w:rFonts w:ascii="Times New Roman" w:eastAsiaTheme="minorEastAsia" w:hAnsi="Times New Roman" w:cs="Times New Roman"/>
          <w:sz w:val="24"/>
          <w:szCs w:val="24"/>
          <w:lang w:val="en-GB" w:eastAsia="zh-CN"/>
        </w:rPr>
        <w:br w:type="page"/>
      </w:r>
    </w:p>
    <w:p>
      <w:pPr>
        <w:spacing w:after="0" w:line="480" w:lineRule="auto"/>
        <w:jc w:val="both"/>
        <w:rPr>
          <w:rFonts w:ascii="Times New Roman" w:hAnsi="Times New Roman" w:cs="Times New Roman"/>
          <w:sz w:val="24"/>
          <w:szCs w:val="24"/>
          <w:lang w:val="en-GB"/>
        </w:rPr>
      </w:pPr>
      <w:r>
        <w:rPr>
          <w:rFonts w:ascii="Times New Roman" w:hAnsi="Times New Roman" w:cs="Times New Roman"/>
          <w:b/>
          <w:bCs/>
          <w:sz w:val="24"/>
          <w:szCs w:val="24"/>
          <w:lang w:val="en-GB"/>
        </w:rPr>
        <w:lastRenderedPageBreak/>
        <w:t>Table S1.</w:t>
      </w:r>
      <w:r>
        <w:rPr>
          <w:rFonts w:ascii="Times New Roman" w:hAnsi="Times New Roman" w:cs="Times New Roman"/>
          <w:sz w:val="24"/>
          <w:szCs w:val="24"/>
          <w:lang w:val="en-GB"/>
        </w:rPr>
        <w:t xml:space="preserve"> Composition of the wood cellulose pulp residue (WCPR)</w:t>
      </w:r>
    </w:p>
    <w:tbl>
      <w:tblPr>
        <w:tblStyle w:val="TableGrid"/>
        <w:tblW w:w="5000" w:type="pct"/>
        <w:tblLook w:val="04A0" w:firstRow="1" w:lastRow="0" w:firstColumn="1" w:lastColumn="0" w:noHBand="0" w:noVBand="1"/>
      </w:tblPr>
      <w:tblGrid>
        <w:gridCol w:w="2719"/>
        <w:gridCol w:w="2710"/>
        <w:gridCol w:w="2059"/>
        <w:gridCol w:w="841"/>
        <w:gridCol w:w="1011"/>
      </w:tblGrid>
      <w:tr>
        <w:trPr>
          <w:trHeight w:val="300"/>
        </w:trPr>
        <w:tc>
          <w:tcPr>
            <w:tcW w:w="1456" w:type="pct"/>
            <w:tcBorders>
              <w:top w:val="single" w:sz="8" w:space="0" w:color="auto"/>
              <w:left w:val="single" w:sz="8" w:space="0" w:color="auto"/>
              <w:bottom w:val="single" w:sz="8" w:space="0" w:color="auto"/>
              <w:right w:val="single" w:sz="8" w:space="0" w:color="auto"/>
            </w:tcBorders>
            <w:noWrap/>
            <w:hideMark/>
          </w:tcPr>
          <w:p>
            <w:pPr>
              <w:jc w:val="center"/>
              <w:rPr>
                <w:rFonts w:ascii="Times New Roman" w:hAnsi="Times New Roman" w:cs="Times New Roman"/>
                <w:sz w:val="24"/>
                <w:szCs w:val="24"/>
                <w:lang w:val="en-GB"/>
              </w:rPr>
            </w:pPr>
            <w:r>
              <w:rPr>
                <w:rFonts w:ascii="Times New Roman" w:hAnsi="Times New Roman" w:cs="Times New Roman"/>
                <w:sz w:val="24"/>
                <w:szCs w:val="24"/>
                <w:lang w:val="en-GB"/>
              </w:rPr>
              <w:t>Glucan (</w:t>
            </w:r>
            <w:proofErr w:type="spellStart"/>
            <w:r>
              <w:rPr>
                <w:rFonts w:ascii="Times New Roman" w:hAnsi="Times New Roman" w:cs="Times New Roman"/>
                <w:sz w:val="24"/>
                <w:szCs w:val="24"/>
                <w:lang w:val="en-GB"/>
              </w:rPr>
              <w:t>wt</w:t>
            </w:r>
            <w:proofErr w:type="spellEnd"/>
            <w:r>
              <w:rPr>
                <w:rFonts w:ascii="Times New Roman" w:hAnsi="Times New Roman" w:cs="Times New Roman"/>
                <w:sz w:val="24"/>
                <w:szCs w:val="24"/>
                <w:lang w:val="en-GB"/>
              </w:rPr>
              <w:t>% dry)</w:t>
            </w:r>
          </w:p>
        </w:tc>
        <w:tc>
          <w:tcPr>
            <w:tcW w:w="1451" w:type="pct"/>
            <w:tcBorders>
              <w:top w:val="single" w:sz="8" w:space="0" w:color="auto"/>
              <w:left w:val="single" w:sz="8" w:space="0" w:color="auto"/>
              <w:bottom w:val="single" w:sz="8" w:space="0" w:color="auto"/>
              <w:right w:val="single" w:sz="8" w:space="0" w:color="auto"/>
            </w:tcBorders>
            <w:noWrap/>
            <w:hideMark/>
          </w:tcPr>
          <w:p>
            <w:pPr>
              <w:jc w:val="center"/>
              <w:rPr>
                <w:rFonts w:ascii="Times New Roman" w:hAnsi="Times New Roman" w:cs="Times New Roman"/>
                <w:sz w:val="24"/>
                <w:szCs w:val="24"/>
                <w:lang w:val="en-GB"/>
              </w:rPr>
            </w:pPr>
            <w:r>
              <w:rPr>
                <w:rFonts w:ascii="Times New Roman" w:hAnsi="Times New Roman" w:cs="Times New Roman"/>
                <w:sz w:val="24"/>
                <w:szCs w:val="24"/>
                <w:lang w:val="en-GB"/>
              </w:rPr>
              <w:t>Lignin AIL − ash</w:t>
            </w:r>
          </w:p>
        </w:tc>
        <w:tc>
          <w:tcPr>
            <w:tcW w:w="1102" w:type="pct"/>
            <w:tcBorders>
              <w:top w:val="single" w:sz="8" w:space="0" w:color="auto"/>
              <w:left w:val="single" w:sz="8" w:space="0" w:color="auto"/>
              <w:bottom w:val="single" w:sz="8" w:space="0" w:color="auto"/>
              <w:right w:val="single" w:sz="8" w:space="0" w:color="auto"/>
            </w:tcBorders>
            <w:noWrap/>
            <w:hideMark/>
          </w:tcPr>
          <w:p>
            <w:pPr>
              <w:jc w:val="center"/>
              <w:rPr>
                <w:rFonts w:ascii="Times New Roman" w:hAnsi="Times New Roman" w:cs="Times New Roman"/>
                <w:sz w:val="24"/>
                <w:szCs w:val="24"/>
                <w:lang w:val="en-GB"/>
              </w:rPr>
            </w:pPr>
            <w:r>
              <w:rPr>
                <w:rFonts w:ascii="Times New Roman" w:hAnsi="Times New Roman" w:cs="Times New Roman"/>
                <w:sz w:val="24"/>
                <w:szCs w:val="24"/>
                <w:lang w:val="en-GB"/>
              </w:rPr>
              <w:t>Lignin ASL</w:t>
            </w:r>
          </w:p>
        </w:tc>
        <w:tc>
          <w:tcPr>
            <w:tcW w:w="450" w:type="pct"/>
            <w:tcBorders>
              <w:top w:val="single" w:sz="8" w:space="0" w:color="auto"/>
              <w:left w:val="single" w:sz="8" w:space="0" w:color="auto"/>
              <w:bottom w:val="single" w:sz="8" w:space="0" w:color="auto"/>
              <w:right w:val="single" w:sz="8" w:space="0" w:color="auto"/>
            </w:tcBorders>
            <w:noWrap/>
            <w:hideMark/>
          </w:tcPr>
          <w:p>
            <w:pPr>
              <w:jc w:val="center"/>
              <w:rPr>
                <w:rFonts w:ascii="Times New Roman" w:hAnsi="Times New Roman" w:cs="Times New Roman"/>
                <w:sz w:val="24"/>
                <w:szCs w:val="24"/>
                <w:lang w:val="en-GB"/>
              </w:rPr>
            </w:pPr>
            <w:r>
              <w:rPr>
                <w:rFonts w:ascii="Times New Roman" w:hAnsi="Times New Roman" w:cs="Times New Roman"/>
                <w:sz w:val="24"/>
                <w:szCs w:val="24"/>
                <w:lang w:val="en-GB"/>
              </w:rPr>
              <w:t>Ash</w:t>
            </w:r>
          </w:p>
        </w:tc>
        <w:tc>
          <w:tcPr>
            <w:tcW w:w="540" w:type="pct"/>
            <w:tcBorders>
              <w:top w:val="single" w:sz="8" w:space="0" w:color="auto"/>
              <w:left w:val="single" w:sz="8" w:space="0" w:color="auto"/>
              <w:bottom w:val="single" w:sz="8" w:space="0" w:color="auto"/>
              <w:right w:val="single" w:sz="8" w:space="0" w:color="auto"/>
            </w:tcBorders>
            <w:noWrap/>
            <w:hideMark/>
          </w:tcPr>
          <w:p>
            <w:pPr>
              <w:jc w:val="center"/>
              <w:rPr>
                <w:rFonts w:ascii="Times New Roman" w:hAnsi="Times New Roman" w:cs="Times New Roman"/>
                <w:sz w:val="24"/>
                <w:szCs w:val="24"/>
                <w:lang w:val="en-GB"/>
              </w:rPr>
            </w:pPr>
            <w:r>
              <w:rPr>
                <w:rFonts w:ascii="Times New Roman" w:hAnsi="Times New Roman" w:cs="Times New Roman"/>
                <w:sz w:val="24"/>
                <w:szCs w:val="24"/>
                <w:lang w:val="en-GB"/>
              </w:rPr>
              <w:t>Total</w:t>
            </w:r>
          </w:p>
        </w:tc>
      </w:tr>
      <w:tr>
        <w:trPr>
          <w:trHeight w:val="300"/>
        </w:trPr>
        <w:tc>
          <w:tcPr>
            <w:tcW w:w="1456" w:type="pct"/>
            <w:tcBorders>
              <w:top w:val="single" w:sz="8" w:space="0" w:color="auto"/>
              <w:left w:val="single" w:sz="8" w:space="0" w:color="auto"/>
              <w:bottom w:val="single" w:sz="8" w:space="0" w:color="auto"/>
              <w:right w:val="single" w:sz="8" w:space="0" w:color="auto"/>
            </w:tcBorders>
            <w:noWrap/>
            <w:hideMark/>
          </w:tcPr>
          <w:p>
            <w:pPr>
              <w:jc w:val="center"/>
              <w:rPr>
                <w:rFonts w:ascii="Times New Roman" w:hAnsi="Times New Roman" w:cs="Times New Roman"/>
                <w:sz w:val="24"/>
                <w:szCs w:val="24"/>
                <w:lang w:val="en-GB"/>
              </w:rPr>
            </w:pPr>
            <w:r>
              <w:rPr>
                <w:rFonts w:ascii="Times New Roman" w:hAnsi="Times New Roman" w:cs="Times New Roman"/>
                <w:sz w:val="24"/>
                <w:szCs w:val="24"/>
                <w:lang w:val="en-GB"/>
              </w:rPr>
              <w:t>62.26</w:t>
            </w:r>
          </w:p>
        </w:tc>
        <w:tc>
          <w:tcPr>
            <w:tcW w:w="1451" w:type="pct"/>
            <w:tcBorders>
              <w:top w:val="single" w:sz="8" w:space="0" w:color="auto"/>
              <w:left w:val="single" w:sz="8" w:space="0" w:color="auto"/>
              <w:bottom w:val="single" w:sz="8" w:space="0" w:color="auto"/>
              <w:right w:val="single" w:sz="8" w:space="0" w:color="auto"/>
            </w:tcBorders>
            <w:noWrap/>
            <w:hideMark/>
          </w:tcPr>
          <w:p>
            <w:pPr>
              <w:jc w:val="center"/>
              <w:rPr>
                <w:rFonts w:ascii="Times New Roman" w:hAnsi="Times New Roman" w:cs="Times New Roman"/>
                <w:sz w:val="24"/>
                <w:szCs w:val="24"/>
                <w:lang w:val="en-GB"/>
              </w:rPr>
            </w:pPr>
            <w:r>
              <w:rPr>
                <w:rFonts w:ascii="Times New Roman" w:hAnsi="Times New Roman" w:cs="Times New Roman"/>
                <w:sz w:val="24"/>
                <w:szCs w:val="24"/>
                <w:lang w:val="en-GB"/>
              </w:rPr>
              <w:t>30.90</w:t>
            </w:r>
          </w:p>
        </w:tc>
        <w:tc>
          <w:tcPr>
            <w:tcW w:w="1102" w:type="pct"/>
            <w:tcBorders>
              <w:top w:val="single" w:sz="8" w:space="0" w:color="auto"/>
              <w:left w:val="single" w:sz="8" w:space="0" w:color="auto"/>
              <w:bottom w:val="single" w:sz="8" w:space="0" w:color="auto"/>
              <w:right w:val="single" w:sz="8" w:space="0" w:color="auto"/>
            </w:tcBorders>
            <w:noWrap/>
            <w:hideMark/>
          </w:tcPr>
          <w:p>
            <w:pPr>
              <w:jc w:val="center"/>
              <w:rPr>
                <w:rFonts w:ascii="Times New Roman" w:hAnsi="Times New Roman" w:cs="Times New Roman"/>
                <w:sz w:val="24"/>
                <w:szCs w:val="24"/>
                <w:lang w:val="en-GB"/>
              </w:rPr>
            </w:pPr>
            <w:r>
              <w:rPr>
                <w:rFonts w:ascii="Times New Roman" w:hAnsi="Times New Roman" w:cs="Times New Roman"/>
                <w:sz w:val="24"/>
                <w:szCs w:val="24"/>
                <w:lang w:val="en-GB"/>
              </w:rPr>
              <w:t>0.14</w:t>
            </w:r>
          </w:p>
        </w:tc>
        <w:tc>
          <w:tcPr>
            <w:tcW w:w="450" w:type="pct"/>
            <w:tcBorders>
              <w:top w:val="single" w:sz="8" w:space="0" w:color="auto"/>
              <w:left w:val="single" w:sz="8" w:space="0" w:color="auto"/>
              <w:bottom w:val="single" w:sz="8" w:space="0" w:color="auto"/>
              <w:right w:val="single" w:sz="8" w:space="0" w:color="auto"/>
            </w:tcBorders>
            <w:noWrap/>
            <w:hideMark/>
          </w:tcPr>
          <w:p>
            <w:pPr>
              <w:jc w:val="center"/>
              <w:rPr>
                <w:rFonts w:ascii="Times New Roman" w:hAnsi="Times New Roman" w:cs="Times New Roman"/>
                <w:sz w:val="24"/>
                <w:szCs w:val="24"/>
                <w:lang w:val="en-GB"/>
              </w:rPr>
            </w:pPr>
            <w:r>
              <w:rPr>
                <w:rFonts w:ascii="Times New Roman" w:hAnsi="Times New Roman" w:cs="Times New Roman"/>
                <w:sz w:val="24"/>
                <w:szCs w:val="24"/>
                <w:lang w:val="en-GB"/>
              </w:rPr>
              <w:t>1.4</w:t>
            </w:r>
          </w:p>
        </w:tc>
        <w:tc>
          <w:tcPr>
            <w:tcW w:w="540" w:type="pct"/>
            <w:tcBorders>
              <w:top w:val="single" w:sz="8" w:space="0" w:color="auto"/>
              <w:left w:val="single" w:sz="8" w:space="0" w:color="auto"/>
              <w:bottom w:val="single" w:sz="8" w:space="0" w:color="auto"/>
              <w:right w:val="single" w:sz="8" w:space="0" w:color="auto"/>
            </w:tcBorders>
            <w:noWrap/>
            <w:hideMark/>
          </w:tcPr>
          <w:p>
            <w:pPr>
              <w:jc w:val="center"/>
              <w:rPr>
                <w:rFonts w:ascii="Times New Roman" w:hAnsi="Times New Roman" w:cs="Times New Roman"/>
                <w:sz w:val="24"/>
                <w:szCs w:val="24"/>
                <w:lang w:val="en-GB"/>
              </w:rPr>
            </w:pPr>
            <w:r>
              <w:rPr>
                <w:rFonts w:ascii="Times New Roman" w:hAnsi="Times New Roman" w:cs="Times New Roman"/>
                <w:sz w:val="24"/>
                <w:szCs w:val="24"/>
                <w:lang w:val="en-GB"/>
              </w:rPr>
              <w:t>94.7</w:t>
            </w:r>
          </w:p>
        </w:tc>
      </w:tr>
      <w:tr>
        <w:trPr>
          <w:trHeight w:val="300"/>
        </w:trPr>
        <w:tc>
          <w:tcPr>
            <w:tcW w:w="1456" w:type="pct"/>
            <w:tcBorders>
              <w:top w:val="single" w:sz="8" w:space="0" w:color="auto"/>
              <w:left w:val="single" w:sz="8" w:space="0" w:color="auto"/>
              <w:bottom w:val="single" w:sz="8" w:space="0" w:color="auto"/>
              <w:right w:val="single" w:sz="8" w:space="0" w:color="auto"/>
            </w:tcBorders>
            <w:noWrap/>
          </w:tcPr>
          <w:p>
            <w:pPr>
              <w:jc w:val="center"/>
              <w:rPr>
                <w:rFonts w:ascii="Times New Roman" w:hAnsi="Times New Roman" w:cs="Times New Roman"/>
                <w:sz w:val="24"/>
                <w:szCs w:val="24"/>
                <w:lang w:val="en-GB"/>
              </w:rPr>
            </w:pPr>
            <w:r>
              <w:rPr>
                <w:rFonts w:ascii="Times New Roman" w:hAnsi="Times New Roman" w:cs="Times New Roman"/>
                <w:sz w:val="24"/>
                <w:szCs w:val="24"/>
                <w:lang w:val="en-GB"/>
              </w:rPr>
              <w:t>Lignin AIL</w:t>
            </w:r>
          </w:p>
        </w:tc>
        <w:tc>
          <w:tcPr>
            <w:tcW w:w="3544" w:type="pct"/>
            <w:gridSpan w:val="4"/>
            <w:tcBorders>
              <w:left w:val="single" w:sz="8" w:space="0" w:color="auto"/>
              <w:bottom w:val="single" w:sz="8" w:space="0" w:color="auto"/>
              <w:right w:val="single" w:sz="8" w:space="0" w:color="auto"/>
            </w:tcBorders>
            <w:noWrap/>
          </w:tcPr>
          <w:p>
            <w:pPr>
              <w:jc w:val="center"/>
              <w:rPr>
                <w:rFonts w:ascii="Times New Roman" w:hAnsi="Times New Roman" w:cs="Times New Roman"/>
                <w:sz w:val="24"/>
                <w:szCs w:val="24"/>
                <w:lang w:val="en-GB"/>
              </w:rPr>
            </w:pPr>
            <w:r>
              <w:rPr>
                <w:rFonts w:ascii="Times New Roman" w:hAnsi="Times New Roman" w:cs="Times New Roman"/>
                <w:sz w:val="24"/>
                <w:szCs w:val="24"/>
                <w:lang w:val="en-GB"/>
              </w:rPr>
              <w:t>Acid Insoluble Lignin</w:t>
            </w:r>
          </w:p>
        </w:tc>
      </w:tr>
      <w:tr>
        <w:trPr>
          <w:trHeight w:val="300"/>
        </w:trPr>
        <w:tc>
          <w:tcPr>
            <w:tcW w:w="1456" w:type="pct"/>
            <w:tcBorders>
              <w:top w:val="single" w:sz="8" w:space="0" w:color="auto"/>
              <w:left w:val="single" w:sz="8" w:space="0" w:color="auto"/>
              <w:bottom w:val="single" w:sz="8" w:space="0" w:color="auto"/>
              <w:right w:val="single" w:sz="8" w:space="0" w:color="auto"/>
            </w:tcBorders>
            <w:noWrap/>
          </w:tcPr>
          <w:p>
            <w:pPr>
              <w:jc w:val="center"/>
              <w:rPr>
                <w:rFonts w:ascii="Times New Roman" w:hAnsi="Times New Roman" w:cs="Times New Roman"/>
                <w:sz w:val="24"/>
                <w:szCs w:val="24"/>
                <w:lang w:val="en-GB"/>
              </w:rPr>
            </w:pPr>
            <w:r>
              <w:rPr>
                <w:rFonts w:ascii="Times New Roman" w:hAnsi="Times New Roman" w:cs="Times New Roman"/>
                <w:sz w:val="24"/>
                <w:szCs w:val="24"/>
                <w:lang w:val="en-GB"/>
              </w:rPr>
              <w:t>Lignin ASL</w:t>
            </w:r>
          </w:p>
        </w:tc>
        <w:tc>
          <w:tcPr>
            <w:tcW w:w="3544" w:type="pct"/>
            <w:gridSpan w:val="4"/>
            <w:tcBorders>
              <w:top w:val="single" w:sz="8" w:space="0" w:color="auto"/>
              <w:left w:val="single" w:sz="8" w:space="0" w:color="auto"/>
              <w:bottom w:val="single" w:sz="8" w:space="0" w:color="auto"/>
              <w:right w:val="single" w:sz="8" w:space="0" w:color="auto"/>
            </w:tcBorders>
            <w:noWrap/>
          </w:tcPr>
          <w:p>
            <w:pPr>
              <w:jc w:val="center"/>
              <w:rPr>
                <w:rFonts w:ascii="Times New Roman" w:hAnsi="Times New Roman" w:cs="Times New Roman"/>
                <w:sz w:val="24"/>
                <w:szCs w:val="24"/>
                <w:lang w:val="en-GB"/>
              </w:rPr>
            </w:pPr>
            <w:r>
              <w:rPr>
                <w:rFonts w:ascii="Times New Roman" w:hAnsi="Times New Roman" w:cs="Times New Roman"/>
                <w:sz w:val="24"/>
                <w:szCs w:val="24"/>
                <w:lang w:val="en-GB"/>
              </w:rPr>
              <w:t>Acid Soluble Lignin</w:t>
            </w:r>
          </w:p>
        </w:tc>
      </w:tr>
    </w:tbl>
    <w:p>
      <w:pPr>
        <w:spacing w:after="0" w:line="480" w:lineRule="auto"/>
        <w:jc w:val="both"/>
        <w:rPr>
          <w:rFonts w:ascii="Times New Roman" w:hAnsi="Times New Roman" w:cs="Times New Roman"/>
          <w:b/>
          <w:bCs/>
          <w:sz w:val="24"/>
          <w:szCs w:val="24"/>
          <w:lang w:val="en-GB"/>
        </w:rPr>
      </w:pPr>
    </w:p>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In the acid solvolysis process, biomass is treated with sulfuric acid to break down its structure and facilitate the conversion process. Following this, the crude lignin oil still contains sulfuric acid, which is neutralized using calcium carbonate to prevent any residual acidity from affecting downstream processing or product stability. Additionally, the lignocellulose filter residue undergoes a methanol wash to remove any remaining soluble components. However, a potential concern arises regarding the efficiency of the washing step. It is conceivable that traces of sulfuric acid could remain trapped within the lignocellulosic matrix, particularly in regions where accessibility to the washing solvent is limited. This could lead to localized acidity in the final residue, which may influence subsequent processing steps. Specifically, the residual acid could act as a catalytic site during the conversion of WCPR to LGO. If this is the case, the presence of trapped acid may contribute to reaction kinetics, potentially enhancing LGO formation without requiring additional acid catalysts. Further investigation into the extent of acid retention and its catalytic role could provide valuable insights for optimizing both the solvolysis and conversion processes.</w:t>
      </w:r>
    </w:p>
    <w:p>
      <w:pPr>
        <w:rPr>
          <w:rFonts w:ascii="Times New Roman" w:hAnsi="Times New Roman" w:cs="Times New Roman"/>
          <w:b/>
          <w:bCs/>
          <w:sz w:val="24"/>
          <w:szCs w:val="24"/>
          <w:lang w:val="en-GB"/>
        </w:rPr>
      </w:pPr>
      <w:r>
        <w:rPr>
          <w:rFonts w:ascii="Times New Roman" w:hAnsi="Times New Roman" w:cs="Times New Roman"/>
          <w:b/>
          <w:bCs/>
          <w:sz w:val="24"/>
          <w:szCs w:val="24"/>
          <w:lang w:val="en-GB"/>
        </w:rPr>
        <w:br w:type="page"/>
      </w:r>
    </w:p>
    <w:p>
      <w:pPr>
        <w:spacing w:after="0" w:line="480" w:lineRule="auto"/>
        <w:jc w:val="both"/>
        <w:rPr>
          <w:rFonts w:ascii="Times New Roman" w:hAnsi="Times New Roman" w:cs="Times New Roman"/>
          <w:b/>
          <w:bCs/>
          <w:sz w:val="24"/>
          <w:szCs w:val="24"/>
          <w:lang w:val="en-GB"/>
        </w:rPr>
      </w:pPr>
      <w:r>
        <w:rPr>
          <w:rFonts w:ascii="Times New Roman" w:hAnsi="Times New Roman" w:cs="Times New Roman"/>
          <w:b/>
          <w:bCs/>
          <w:sz w:val="24"/>
          <w:szCs w:val="24"/>
          <w:lang w:val="en-GB"/>
        </w:rPr>
        <w:lastRenderedPageBreak/>
        <w:t>S2.2. Analysis</w:t>
      </w:r>
    </w:p>
    <w:p>
      <w:pPr>
        <w:spacing w:after="0" w:line="480" w:lineRule="auto"/>
        <w:jc w:val="both"/>
        <w:rPr>
          <w:rFonts w:ascii="Times New Roman" w:hAnsi="Times New Roman" w:cs="Times New Roman"/>
          <w:b/>
          <w:bCs/>
          <w:sz w:val="24"/>
          <w:szCs w:val="24"/>
          <w:lang w:val="en-GB"/>
        </w:rPr>
      </w:pPr>
    </w:p>
    <w:p>
      <w:pPr>
        <w:spacing w:after="0" w:line="480" w:lineRule="auto"/>
        <w:ind w:firstLine="709"/>
        <w:jc w:val="both"/>
        <w:rPr>
          <w:rFonts w:ascii="Times New Roman" w:hAnsi="Times New Roman" w:cs="Times New Roman"/>
          <w:sz w:val="24"/>
          <w:szCs w:val="24"/>
          <w:lang w:val="en-GB"/>
        </w:rPr>
      </w:pPr>
      <w:r>
        <w:rPr>
          <w:rFonts w:ascii="Times New Roman" w:hAnsi="Times New Roman" w:cs="Times New Roman"/>
          <w:sz w:val="24"/>
          <w:szCs w:val="24"/>
          <w:lang w:val="en-GB"/>
        </w:rPr>
        <w:t>N</w:t>
      </w:r>
      <w:r>
        <w:rPr>
          <w:rFonts w:ascii="Times New Roman" w:hAnsi="Times New Roman" w:cs="Times New Roman"/>
          <w:sz w:val="24"/>
          <w:szCs w:val="24"/>
          <w:vertAlign w:val="subscript"/>
          <w:lang w:val="en-GB"/>
        </w:rPr>
        <w:t>2</w:t>
      </w:r>
      <w:r>
        <w:rPr>
          <w:rFonts w:ascii="Times New Roman" w:hAnsi="Times New Roman" w:cs="Times New Roman"/>
          <w:sz w:val="24"/>
          <w:szCs w:val="24"/>
          <w:lang w:val="en-GB"/>
        </w:rPr>
        <w:t xml:space="preserve"> adsorption at liquid nitrogen temperatures (77 K) was conducted using a Micromeritics micropore </w:t>
      </w:r>
      <w:proofErr w:type="spellStart"/>
      <w:r>
        <w:rPr>
          <w:rFonts w:ascii="Times New Roman" w:hAnsi="Times New Roman" w:cs="Times New Roman"/>
          <w:sz w:val="24"/>
          <w:szCs w:val="24"/>
          <w:lang w:val="en-GB"/>
        </w:rPr>
        <w:t>analyzer</w:t>
      </w:r>
      <w:proofErr w:type="spellEnd"/>
      <w:r>
        <w:rPr>
          <w:rFonts w:ascii="Times New Roman" w:hAnsi="Times New Roman" w:cs="Times New Roman"/>
          <w:sz w:val="24"/>
          <w:szCs w:val="24"/>
          <w:lang w:val="en-GB"/>
        </w:rPr>
        <w:t xml:space="preserve"> (Micromeritics ASAP 2020 instrument) to determine the BET surface area of both the raw and WT samples. Prior to conducting measurements, all samples (approximately 0.1 g) were degassed under vacuum at 110 °C for 12 h. High-resolution scanning electron microscopy (HR SEM) analysis of WCPR and WT WCPR samples was conducted using a FE-SEM SUPRA 35-VP instrument manufactured by Carl Zeiss. Carbon, hydrogen, nitrogen, and </w:t>
      </w:r>
      <w:proofErr w:type="spellStart"/>
      <w:r>
        <w:rPr>
          <w:rFonts w:ascii="Times New Roman" w:hAnsi="Times New Roman" w:cs="Times New Roman"/>
          <w:sz w:val="24"/>
          <w:szCs w:val="24"/>
          <w:lang w:val="en-GB"/>
        </w:rPr>
        <w:t>sulfur</w:t>
      </w:r>
      <w:proofErr w:type="spellEnd"/>
      <w:r>
        <w:rPr>
          <w:rFonts w:ascii="Times New Roman" w:hAnsi="Times New Roman" w:cs="Times New Roman"/>
          <w:sz w:val="24"/>
          <w:szCs w:val="24"/>
          <w:lang w:val="en-GB"/>
        </w:rPr>
        <w:t xml:space="preserve"> contents were determined using a CHNS elemental </w:t>
      </w:r>
      <w:proofErr w:type="spellStart"/>
      <w:r>
        <w:rPr>
          <w:rFonts w:ascii="Times New Roman" w:hAnsi="Times New Roman" w:cs="Times New Roman"/>
          <w:sz w:val="24"/>
          <w:szCs w:val="24"/>
          <w:lang w:val="en-GB"/>
        </w:rPr>
        <w:t>analyzer</w:t>
      </w:r>
      <w:proofErr w:type="spellEnd"/>
      <w:r>
        <w:rPr>
          <w:rFonts w:ascii="Times New Roman" w:hAnsi="Times New Roman" w:cs="Times New Roman"/>
          <w:sz w:val="24"/>
          <w:szCs w:val="24"/>
          <w:lang w:val="en-GB"/>
        </w:rPr>
        <w:t xml:space="preserve"> </w:t>
      </w:r>
      <w:proofErr w:type="spellStart"/>
      <w:r>
        <w:rPr>
          <w:rFonts w:ascii="Times New Roman" w:hAnsi="Times New Roman" w:cs="Times New Roman"/>
          <w:sz w:val="24"/>
          <w:szCs w:val="24"/>
          <w:lang w:val="en-GB"/>
        </w:rPr>
        <w:t>vario</w:t>
      </w:r>
      <w:proofErr w:type="spellEnd"/>
      <w:r>
        <w:rPr>
          <w:rFonts w:ascii="Times New Roman" w:hAnsi="Times New Roman" w:cs="Times New Roman"/>
          <w:sz w:val="24"/>
          <w:szCs w:val="24"/>
          <w:lang w:val="en-GB"/>
        </w:rPr>
        <w:t xml:space="preserve"> EL cube (</w:t>
      </w:r>
      <w:proofErr w:type="spellStart"/>
      <w:r>
        <w:rPr>
          <w:rFonts w:ascii="Times New Roman" w:hAnsi="Times New Roman" w:cs="Times New Roman"/>
          <w:sz w:val="24"/>
          <w:szCs w:val="24"/>
          <w:lang w:val="en-GB"/>
        </w:rPr>
        <w:t>Elementar</w:t>
      </w:r>
      <w:proofErr w:type="spellEnd"/>
      <w:r>
        <w:rPr>
          <w:rFonts w:ascii="Times New Roman" w:hAnsi="Times New Roman" w:cs="Times New Roman"/>
          <w:sz w:val="24"/>
          <w:szCs w:val="24"/>
          <w:lang w:val="en-GB"/>
        </w:rPr>
        <w:t xml:space="preserve">, Hanau, Germany) operating in CHNS mode and using a thermal conductivity detector to determine carbon, hydrogen, and nitrogen, while an infrared detector was used to determine </w:t>
      </w:r>
      <w:proofErr w:type="spellStart"/>
      <w:r>
        <w:rPr>
          <w:rFonts w:ascii="Times New Roman" w:hAnsi="Times New Roman" w:cs="Times New Roman"/>
          <w:sz w:val="24"/>
          <w:szCs w:val="24"/>
          <w:lang w:val="en-GB"/>
        </w:rPr>
        <w:t>sulfur</w:t>
      </w:r>
      <w:proofErr w:type="spellEnd"/>
      <w:r>
        <w:rPr>
          <w:rFonts w:ascii="Times New Roman" w:hAnsi="Times New Roman" w:cs="Times New Roman"/>
          <w:sz w:val="24"/>
          <w:szCs w:val="24"/>
          <w:lang w:val="en-GB"/>
        </w:rPr>
        <w:t xml:space="preserve"> content. The instrument was calibrated with a </w:t>
      </w:r>
      <w:proofErr w:type="gramStart"/>
      <w:r>
        <w:rPr>
          <w:rFonts w:ascii="Times New Roman" w:hAnsi="Times New Roman" w:cs="Times New Roman"/>
          <w:sz w:val="24"/>
          <w:szCs w:val="24"/>
          <w:lang w:val="en-GB"/>
        </w:rPr>
        <w:t>low level</w:t>
      </w:r>
      <w:proofErr w:type="gramEnd"/>
      <w:r>
        <w:rPr>
          <w:rFonts w:ascii="Times New Roman" w:hAnsi="Times New Roman" w:cs="Times New Roman"/>
          <w:sz w:val="24"/>
          <w:szCs w:val="24"/>
          <w:lang w:val="en-GB"/>
        </w:rPr>
        <w:t xml:space="preserve"> N- and S- contents standard (67.65% C, 4.95% H, 0.72% N, 0.84% S) available from </w:t>
      </w:r>
      <w:proofErr w:type="spellStart"/>
      <w:r>
        <w:rPr>
          <w:rFonts w:ascii="Times New Roman" w:hAnsi="Times New Roman" w:cs="Times New Roman"/>
          <w:sz w:val="24"/>
          <w:szCs w:val="24"/>
          <w:lang w:val="en-GB"/>
        </w:rPr>
        <w:t>Elementar</w:t>
      </w:r>
      <w:proofErr w:type="spellEnd"/>
      <w:r>
        <w:rPr>
          <w:rFonts w:ascii="Times New Roman" w:hAnsi="Times New Roman" w:cs="Times New Roman"/>
          <w:sz w:val="24"/>
          <w:szCs w:val="24"/>
          <w:lang w:val="en-GB"/>
        </w:rPr>
        <w:t>. The combustion and reduction tubes were set to 1150 and 850 °C, respectively. Finally, the CHNOS content was assessed on a dry basis by subtracting the water content.</w:t>
      </w:r>
    </w:p>
    <w:p>
      <w:pPr>
        <w:tabs>
          <w:tab w:val="right" w:pos="9026"/>
        </w:tabs>
        <w:spacing w:after="0" w:line="480" w:lineRule="auto"/>
        <w:ind w:firstLine="709"/>
        <w:jc w:val="both"/>
        <w:rPr>
          <w:rFonts w:ascii="Times New Roman" w:hAnsi="Times New Roman" w:cs="Times New Roman"/>
          <w:sz w:val="24"/>
          <w:szCs w:val="24"/>
          <w:lang w:val="en-GB"/>
        </w:rPr>
      </w:pPr>
      <w:r>
        <w:rPr>
          <w:rFonts w:ascii="Times New Roman" w:hAnsi="Times New Roman" w:cs="Times New Roman"/>
          <w:sz w:val="24"/>
          <w:szCs w:val="24"/>
          <w:lang w:val="en-GB"/>
        </w:rPr>
        <w:t>O = 100% ‒ C% ‒ H% ‒ N% ‒ S% ‒ moisture% ‒ ash%</w:t>
      </w:r>
      <w:r>
        <w:rPr>
          <w:rFonts w:ascii="Times New Roman" w:hAnsi="Times New Roman" w:cs="Times New Roman"/>
          <w:sz w:val="24"/>
          <w:szCs w:val="24"/>
          <w:lang w:val="en-GB"/>
        </w:rPr>
        <w:tab/>
        <w:t>(1)</w:t>
      </w:r>
    </w:p>
    <w:p>
      <w:pPr>
        <w:spacing w:after="0" w:line="480" w:lineRule="auto"/>
        <w:ind w:firstLine="709"/>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X ray diffraction (XRD) was carried out using a powder X-ray diffraction detector </w:t>
      </w:r>
      <w:proofErr w:type="spellStart"/>
      <w:r>
        <w:rPr>
          <w:rFonts w:ascii="Times New Roman" w:hAnsi="Times New Roman" w:cs="Times New Roman"/>
          <w:sz w:val="24"/>
          <w:szCs w:val="24"/>
          <w:lang w:val="en-GB"/>
        </w:rPr>
        <w:t>PANalytical</w:t>
      </w:r>
      <w:proofErr w:type="spellEnd"/>
      <w:r>
        <w:rPr>
          <w:rFonts w:ascii="Times New Roman" w:hAnsi="Times New Roman" w:cs="Times New Roman"/>
          <w:sz w:val="24"/>
          <w:szCs w:val="24"/>
          <w:lang w:val="en-GB"/>
        </w:rPr>
        <w:t xml:space="preserve"> </w:t>
      </w:r>
      <w:proofErr w:type="spellStart"/>
      <w:r>
        <w:rPr>
          <w:rFonts w:ascii="Times New Roman" w:hAnsi="Times New Roman" w:cs="Times New Roman"/>
          <w:sz w:val="24"/>
          <w:szCs w:val="24"/>
          <w:lang w:val="en-GB"/>
        </w:rPr>
        <w:t>XpertPro</w:t>
      </w:r>
      <w:proofErr w:type="spellEnd"/>
      <w:r>
        <w:rPr>
          <w:rFonts w:ascii="Times New Roman" w:hAnsi="Times New Roman" w:cs="Times New Roman"/>
          <w:sz w:val="24"/>
          <w:szCs w:val="24"/>
          <w:lang w:val="en-GB"/>
        </w:rPr>
        <w:t xml:space="preserve"> instrument) using </w:t>
      </w:r>
      <w:proofErr w:type="spellStart"/>
      <w:r>
        <w:rPr>
          <w:rFonts w:ascii="Times New Roman" w:hAnsi="Times New Roman" w:cs="Times New Roman"/>
          <w:sz w:val="24"/>
          <w:szCs w:val="24"/>
          <w:lang w:val="en-GB"/>
        </w:rPr>
        <w:t>CuK</w:t>
      </w:r>
      <w:proofErr w:type="spellEnd"/>
      <w:r>
        <w:rPr>
          <w:rFonts w:ascii="Times New Roman" w:hAnsi="Times New Roman" w:cs="Times New Roman"/>
          <w:sz w:val="24"/>
          <w:szCs w:val="24"/>
          <w:lang w:val="en-GB"/>
        </w:rPr>
        <w:t xml:space="preserve">α1 radiation (1.54056 Ǻ) at 45 kV and 40 mA in the scanning range of 5° to 50° with a step of 0.033°. In order to examine the impact of WT on the overall crystalline structure of the feedstock, the crystallinity index (CI) was computed using the Segal method </w:t>
      </w:r>
      <w:r>
        <w:rPr>
          <w:rFonts w:ascii="Times New Roman" w:hAnsi="Times New Roman" w:cs="Times New Roman"/>
          <w:sz w:val="24"/>
          <w:szCs w:val="24"/>
          <w:lang w:val="en-GB"/>
        </w:rPr>
        <w:fldChar w:fldCharType="begin" w:fldLock="1"/>
      </w:r>
      <w:r>
        <w:rPr>
          <w:rFonts w:ascii="Times New Roman" w:hAnsi="Times New Roman" w:cs="Times New Roman"/>
          <w:sz w:val="24"/>
          <w:szCs w:val="24"/>
          <w:lang w:val="en-GB"/>
        </w:rPr>
        <w:instrText>ADDIN CSL_CITATION {"citationItems":[{"id":"ITEM-1","itemData":{"DOI":"10.1177/004051755902901003","ISSN":"00405175","abstract":"An empirical method for determining the crystallinity of native cellulose was studied with an x-ray diffractometer using the focusing and transmission techniques. The influence of fluctuations in the primary radiation and in the counting and recording processes have been determined. The intensity of the 002 interference and the amor phous scatter at 2 = 18ºwas measured. The percent crystalline material in the total cellulose was expressed by an x-ray “crystallinity index.” This was done for cotton cellulose decrystallized with aqueous solutions containing from 70% to nominally 100% ethylamine. The x-ray “crystallinity index” was correlated with acid hydrolysis crys tallinity, moisture regain, density, leveling-off degree of polymerization values, and infrared absorbance values for each sample. The results indicate that the crystallinity index is a time-saving empirical measure of relative crystallinity. The precision of the crystallinity index in terms of the several crystallinity criteria is given. Based on over 40 samples for which acid hydrolysis crystallinity values were available, the standard error was 6.5%. © 1959, Sage Publications. All rights reserved.","author":[{"dropping-particle":"","family":"Segal","given":"L.","non-dropping-particle":"","parse-names":false,"suffix":""},{"dropping-particle":"","family":"Creely","given":"J. J.","non-dropping-particle":"","parse-names":false,"suffix":""},{"dropping-particle":"","family":"Martin","given":"A. E.","non-dropping-particle":"","parse-names":false,"suffix":""},{"dropping-particle":"","family":"Conrad","given":"C. M.","non-dropping-particle":"","parse-names":false,"suffix":""}],"container-title":"Textile Research Journal","id":"ITEM-1","issue":"10","issued":{"date-parts":[["1959"]]},"page":"786-794","title":"An Empirical Method for Estimating the Degree of Crystallinity of Native Cellulose Using the X-Ray Diffractometer","type":"article-journal","volume":"29"},"uris":["http://www.mendeley.com/documents/?uuid=b3278d06-5526-4aa1-a19f-77af7752b020"]}],"mendeley":{"formattedCitation":"[1]","plainTextFormattedCitation":"[1]","previouslyFormattedCitation":"[1]"},"properties":{"noteIndex":0},"schema":"https://github.com/citation-style-language/schema/raw/master/csl-citation.json"}</w:instrText>
      </w:r>
      <w:r>
        <w:rPr>
          <w:rFonts w:ascii="Times New Roman" w:hAnsi="Times New Roman" w:cs="Times New Roman"/>
          <w:sz w:val="24"/>
          <w:szCs w:val="24"/>
          <w:lang w:val="en-GB"/>
        </w:rPr>
        <w:fldChar w:fldCharType="separate"/>
      </w:r>
      <w:r>
        <w:rPr>
          <w:rFonts w:ascii="Times New Roman" w:hAnsi="Times New Roman" w:cs="Times New Roman"/>
          <w:noProof/>
          <w:sz w:val="24"/>
          <w:szCs w:val="24"/>
          <w:lang w:val="en-GB"/>
        </w:rPr>
        <w:t>[1]</w:t>
      </w:r>
      <w:r>
        <w:rPr>
          <w:rFonts w:ascii="Times New Roman" w:hAnsi="Times New Roman" w:cs="Times New Roman"/>
          <w:sz w:val="24"/>
          <w:szCs w:val="24"/>
          <w:lang w:val="en-GB"/>
        </w:rPr>
        <w:fldChar w:fldCharType="end"/>
      </w:r>
      <w:r>
        <w:rPr>
          <w:rFonts w:ascii="Times New Roman" w:hAnsi="Times New Roman" w:cs="Times New Roman"/>
          <w:sz w:val="24"/>
          <w:szCs w:val="24"/>
          <w:lang w:val="en-GB"/>
        </w:rPr>
        <w:t>. The calculation involved determining the intensities of the (200) plane (I</w:t>
      </w:r>
      <w:r>
        <w:rPr>
          <w:rFonts w:ascii="Times New Roman" w:hAnsi="Times New Roman" w:cs="Times New Roman"/>
          <w:sz w:val="24"/>
          <w:szCs w:val="24"/>
          <w:vertAlign w:val="subscript"/>
          <w:lang w:val="en-GB"/>
        </w:rPr>
        <w:t>200</w:t>
      </w:r>
      <w:r>
        <w:rPr>
          <w:rFonts w:ascii="Times New Roman" w:hAnsi="Times New Roman" w:cs="Times New Roman"/>
          <w:sz w:val="24"/>
          <w:szCs w:val="24"/>
          <w:lang w:val="en-GB"/>
        </w:rPr>
        <w:t>) at 2θ = 22.4° and the amorphous regions (</w:t>
      </w:r>
      <w:proofErr w:type="spellStart"/>
      <w:r>
        <w:rPr>
          <w:rFonts w:ascii="Times New Roman" w:hAnsi="Times New Roman" w:cs="Times New Roman"/>
          <w:sz w:val="24"/>
          <w:szCs w:val="24"/>
          <w:lang w:val="en-GB"/>
        </w:rPr>
        <w:t>I</w:t>
      </w:r>
      <w:r>
        <w:rPr>
          <w:rFonts w:ascii="Times New Roman" w:hAnsi="Times New Roman" w:cs="Times New Roman"/>
          <w:sz w:val="24"/>
          <w:szCs w:val="24"/>
          <w:vertAlign w:val="subscript"/>
          <w:lang w:val="en-GB"/>
        </w:rPr>
        <w:t>am</w:t>
      </w:r>
      <w:proofErr w:type="spellEnd"/>
      <w:r>
        <w:rPr>
          <w:rFonts w:ascii="Times New Roman" w:hAnsi="Times New Roman" w:cs="Times New Roman"/>
          <w:sz w:val="24"/>
          <w:szCs w:val="24"/>
          <w:lang w:val="en-GB"/>
        </w:rPr>
        <w:t xml:space="preserve">) at 2θ = 18.0° which is the minimum between the 200 and 110 peaks </w:t>
      </w:r>
      <w:r>
        <w:rPr>
          <w:rFonts w:ascii="Times New Roman" w:hAnsi="Times New Roman" w:cs="Times New Roman"/>
          <w:sz w:val="24"/>
          <w:szCs w:val="24"/>
          <w:lang w:val="en-GB"/>
        </w:rPr>
        <w:fldChar w:fldCharType="begin" w:fldLock="1"/>
      </w:r>
      <w:r>
        <w:rPr>
          <w:rFonts w:ascii="Times New Roman" w:hAnsi="Times New Roman" w:cs="Times New Roman"/>
          <w:sz w:val="24"/>
          <w:szCs w:val="24"/>
          <w:lang w:val="en-GB"/>
        </w:rPr>
        <w:instrText>ADDIN CSL_CITATION {"citationItems":[{"id":"ITEM-1","itemData":{"DOI":"10.1007/s10570-005-9001-8","ISBN":"1057000590","ISSN":"09690239","abstract":"A comparative study of cellulose crystallinity based on the sample crystallinity and the cellulose content in plant fibres was performed for samples of different origin. Strong acid hydrolysis was found superior to agricultural fibre analysis and comprehensive plant fibre analysis for a consistent determination of the cellulose content. Crystallinity determinations were based on X-ray powder diffraction methods using side-loaded samples in reflection (Bragg-Brentano) mode. Rietveld refinements based on the recently published crystal structure of cellulose Iβ followed by integration of the crystalline and amorphous (background) parts were performed. This was shown to be straightforward to use and in many ways advantageous to traditional crystallinity determinations using the Segal or the Ruland - Vonk methods. The determined cellulose crystallinities were 90-100 g/100 g cellulose in plant-based fibres and 60-70 g/100 g cellulose in wood based fibres. These findings are significant in relation to strong fibre composites and bio-ethanol production. © Springer Science+Business Media, Inc. 2005.","author":[{"dropping-particle":"","family":"Thygesen","given":"Anders","non-dropping-particle":"","parse-names":false,"suffix":""},{"dropping-particle":"","family":"Oddershede","given":"Jette","non-dropping-particle":"","parse-names":false,"suffix":""},{"dropping-particle":"","family":"Lilholt","given":"Hans","non-dropping-particle":"","parse-names":false,"suffix":""},{"dropping-particle":"","family":"Thomsen","given":"Anne Belinda","non-dropping-particle":"","parse-names":false,"suffix":""},{"dropping-particle":"","family":"Ståhl","given":"Kenny","non-dropping-particle":"","parse-names":false,"suffix":""}],"container-title":"Cellulose","id":"ITEM-1","issue":"6","issued":{"date-parts":[["2005"]]},"page":"563-576","title":"On the determination of crystallinity and cellulose content in plant fibres","type":"article-journal","volume":"12"},"uris":["http://www.mendeley.com/documents/?uuid=cc4d1702-d81f-4716-8c25-38bffeb6b6ae"]},{"id":"ITEM-2","itemData":{"DOI":"10.1016/j.indcrop.2011.12.016","ISSN":"09266690","abstract":"Cellulose fibres and cellulose nanocrystals were extracted from rice husk. Fibres were obtained by submitting the industrial rice crop to alkali (NaOH) and bleaching treatments. Nanocrystals were extracted from these fibres using sulphuric acid (H 2SO 4) hydrolysis treatment. The material obtained after each stage of the treatments was carefully characterized and its chemical composition was determined. Morphological investigation was performed using scanning electron microscopy (SEM) and transmission electron microscopy (TEM). Fourier transform infrared (FTIR) spectroscopy showed the progressive removal of non-cellulosic constituents. X-ray diffraction (XRD) analysis revealed that the crystallinity increased with successive treatments. The thermal stability of the rice husk fibres and cellulose nanocrystals was also investigated using thermogravimetric analysis (TGA). © 2011 Elsevier B.V.","author":[{"dropping-particle":"","family":"Johar","given":"Nurain","non-dropping-particle":"","parse-names":false,"suffix":""},{"dropping-particle":"","family":"Ahmad","given":"Ishak","non-dropping-particle":"","parse-names":false,"suffix":""},{"dropping-particle":"","family":"Dufresne","given":"Alain","non-dropping-particle":"","parse-names":false,"suffix":""}],"container-title":"Industrial Crops and Products","id":"ITEM-2","issue":"1","issued":{"date-parts":[["2012"]]},"page":"93-99","publisher":"Elsevier B.V.","title":"Extraction, preparation and characterization of cellulose fibres and nanocrystals from rice husk","type":"article-journal","volume":"37"},"uris":["http://www.mendeley.com/documents/?uuid=ecf67b26-e07f-41d7-a5ca-65d6ecb96cb5"]}],"mendeley":{"formattedCitation":"[2,3]","plainTextFormattedCitation":"[2,3]","previouslyFormattedCitation":"[2,3]"},"properties":{"noteIndex":0},"schema":"https://github.com/citation-style-language/schema/raw/master/csl-citation.json"}</w:instrText>
      </w:r>
      <w:r>
        <w:rPr>
          <w:rFonts w:ascii="Times New Roman" w:hAnsi="Times New Roman" w:cs="Times New Roman"/>
          <w:sz w:val="24"/>
          <w:szCs w:val="24"/>
          <w:lang w:val="en-GB"/>
        </w:rPr>
        <w:fldChar w:fldCharType="separate"/>
      </w:r>
      <w:r>
        <w:rPr>
          <w:rFonts w:ascii="Times New Roman" w:hAnsi="Times New Roman" w:cs="Times New Roman"/>
          <w:noProof/>
          <w:sz w:val="24"/>
          <w:szCs w:val="24"/>
          <w:lang w:val="en-GB"/>
        </w:rPr>
        <w:t>[2,3]</w:t>
      </w:r>
      <w:r>
        <w:rPr>
          <w:rFonts w:ascii="Times New Roman" w:hAnsi="Times New Roman" w:cs="Times New Roman"/>
          <w:sz w:val="24"/>
          <w:szCs w:val="24"/>
          <w:lang w:val="en-GB"/>
        </w:rPr>
        <w:fldChar w:fldCharType="end"/>
      </w:r>
      <w:r>
        <w:rPr>
          <w:rFonts w:ascii="Times New Roman" w:hAnsi="Times New Roman" w:cs="Times New Roman"/>
          <w:sz w:val="24"/>
          <w:szCs w:val="24"/>
          <w:lang w:val="en-GB"/>
        </w:rPr>
        <w:t>.</w:t>
      </w:r>
    </w:p>
    <w:p>
      <w:pPr>
        <w:tabs>
          <w:tab w:val="right" w:pos="9026"/>
        </w:tabs>
        <w:spacing w:after="0" w:line="480" w:lineRule="auto"/>
        <w:ind w:firstLine="709"/>
        <w:jc w:val="both"/>
        <w:rPr>
          <w:rFonts w:ascii="Times New Roman" w:hAnsi="Times New Roman" w:cs="Times New Roman"/>
          <w:sz w:val="24"/>
          <w:szCs w:val="24"/>
          <w:lang w:val="en-GB"/>
        </w:rPr>
      </w:pPr>
      <w:r>
        <w:rPr>
          <w:rFonts w:ascii="Times New Roman" w:hAnsi="Times New Roman" w:cs="Times New Roman"/>
          <w:sz w:val="24"/>
          <w:szCs w:val="24"/>
          <w:lang w:val="en-GB"/>
        </w:rPr>
        <w:lastRenderedPageBreak/>
        <w:t>CI = ((I</w:t>
      </w:r>
      <w:r>
        <w:rPr>
          <w:rFonts w:ascii="Times New Roman" w:hAnsi="Times New Roman" w:cs="Times New Roman"/>
          <w:sz w:val="24"/>
          <w:szCs w:val="24"/>
          <w:vertAlign w:val="subscript"/>
          <w:lang w:val="en-GB"/>
        </w:rPr>
        <w:t>200</w:t>
      </w:r>
      <w:r>
        <w:rPr>
          <w:rFonts w:ascii="Times New Roman" w:hAnsi="Times New Roman" w:cs="Times New Roman"/>
          <w:sz w:val="24"/>
          <w:szCs w:val="24"/>
          <w:lang w:val="en-GB"/>
        </w:rPr>
        <w:t>‒I</w:t>
      </w:r>
      <w:r>
        <w:rPr>
          <w:rFonts w:ascii="Times New Roman" w:hAnsi="Times New Roman" w:cs="Times New Roman"/>
          <w:sz w:val="24"/>
          <w:szCs w:val="24"/>
          <w:vertAlign w:val="subscript"/>
          <w:lang w:val="en-GB"/>
        </w:rPr>
        <w:t>am</w:t>
      </w:r>
      <w:r>
        <w:rPr>
          <w:rFonts w:ascii="Times New Roman" w:hAnsi="Times New Roman" w:cs="Times New Roman"/>
          <w:sz w:val="24"/>
          <w:szCs w:val="24"/>
          <w:lang w:val="en-GB"/>
        </w:rPr>
        <w:t>)/I</w:t>
      </w:r>
      <w:r>
        <w:rPr>
          <w:rFonts w:ascii="Times New Roman" w:hAnsi="Times New Roman" w:cs="Times New Roman"/>
          <w:sz w:val="24"/>
          <w:szCs w:val="24"/>
          <w:vertAlign w:val="subscript"/>
          <w:lang w:val="en-GB"/>
        </w:rPr>
        <w:t>200</w:t>
      </w:r>
      <w:r>
        <w:rPr>
          <w:rFonts w:ascii="Times New Roman" w:hAnsi="Times New Roman" w:cs="Times New Roman"/>
          <w:sz w:val="24"/>
          <w:szCs w:val="24"/>
          <w:lang w:val="en-GB"/>
        </w:rPr>
        <w:t>) × 100%</w:t>
      </w:r>
      <w:r>
        <w:rPr>
          <w:rFonts w:ascii="Times New Roman" w:hAnsi="Times New Roman" w:cs="Times New Roman"/>
          <w:sz w:val="24"/>
          <w:szCs w:val="24"/>
          <w:lang w:val="en-GB"/>
        </w:rPr>
        <w:tab/>
        <w:t>(2)</w:t>
      </w:r>
    </w:p>
    <w:p>
      <w:pPr>
        <w:tabs>
          <w:tab w:val="right" w:pos="9026"/>
        </w:tabs>
        <w:spacing w:after="0" w:line="480" w:lineRule="auto"/>
        <w:ind w:firstLine="709"/>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The crystallite size (CS) was evaluated using the Scherrer equation </w:t>
      </w:r>
      <w:r>
        <w:rPr>
          <w:rFonts w:ascii="Times New Roman" w:hAnsi="Times New Roman" w:cs="Times New Roman"/>
          <w:sz w:val="24"/>
          <w:szCs w:val="24"/>
          <w:lang w:val="en-GB"/>
        </w:rPr>
        <w:fldChar w:fldCharType="begin" w:fldLock="1"/>
      </w:r>
      <w:r>
        <w:rPr>
          <w:rFonts w:ascii="Times New Roman" w:hAnsi="Times New Roman" w:cs="Times New Roman"/>
          <w:sz w:val="24"/>
          <w:szCs w:val="24"/>
          <w:lang w:val="en-GB"/>
        </w:rPr>
        <w:instrText>ADDIN CSL_CITATION {"citationItems":[{"id":"ITEM-1","itemData":{"DOI":"10.1007/s10570-016-0893-2","ISBN":"1057001608932","ISSN":"1572882X","abstract":"In this study, ultrasound-assisted alkaline pretreatment is developed to evaluate the morphological and structural changes that occur during pretreatment of cellulose, and its effect on glucose production via enzymatic hydrolysis. The pretreated samples were characterized using scanning electron microscopy, infrared spectroscopy, and X-ray diffraction to understand the change in surface morphology, crystallinity and the fraction of cellulose Iβ and cellulose II. The combined pretreatment led to a great disruption of cellulose particles along with the formation of large pores and partial fibrillation. The effects of ultrasound irradiation time (2, 4 h), NaOH concentration (1–10 wt%), initial particle size (20–180 μm) and initial degree of polymerization (DP) of cellulose on structural changes and glucose yields were evaluated. The alkaline ultrasonic pretreatment resulted in a significant decrease in particle size of cellulose, besides significantly reducing the treatment time and NaOH concentration required to achieve a low crystallinity of cellulose. More than 2.5 times improvement in glucose yield was observed with 10 wt% NaOH and 4 h of sonication, compared to untreated samples. The glucose yields increased with increase in initial particle size of cellulose, while DP had no effect on glucose yields. The glucose yields exhibited an increasing tendency with increase in cellulose II fraction as a result of combined pretreatment.","author":[{"dropping-particle":"","family":"SriBala","given":"G.","non-dropping-particle":"","parse-names":false,"suffix":""},{"dropping-particle":"","family":"Chennuru","given":"Ramanaiah","non-dropping-particle":"","parse-names":false,"suffix":""},{"dropping-particle":"","family":"Mahapatra","given":"Sudarshan","non-dropping-particle":"","parse-names":false,"suffix":""},{"dropping-particle":"","family":"Vinu","given":"R.","non-dropping-particle":"","parse-names":false,"suffix":""}],"container-title":"Cellulose","id":"ITEM-1","issue":"3","issued":{"date-parts":[["2016"]]},"page":"1725-1740","publisher":"Springer Netherlands","title":"Effect of alkaline ultrasonic pretreatment on crystalline morphology and enzymatic hydrolysis of cellulose","type":"article-journal","volume":"23"},"uris":["http://www.mendeley.com/documents/?uuid=5a36bb1f-8031-4a38-ad7e-ef014c65a798"]}],"mendeley":{"formattedCitation":"[4]","plainTextFormattedCitation":"[4]","previouslyFormattedCitation":"[4]"},"properties":{"noteIndex":0},"schema":"https://github.com/citation-style-language/schema/raw/master/csl-citation.json"}</w:instrText>
      </w:r>
      <w:r>
        <w:rPr>
          <w:rFonts w:ascii="Times New Roman" w:hAnsi="Times New Roman" w:cs="Times New Roman"/>
          <w:sz w:val="24"/>
          <w:szCs w:val="24"/>
          <w:lang w:val="en-GB"/>
        </w:rPr>
        <w:fldChar w:fldCharType="separate"/>
      </w:r>
      <w:r>
        <w:rPr>
          <w:rFonts w:ascii="Times New Roman" w:hAnsi="Times New Roman" w:cs="Times New Roman"/>
          <w:noProof/>
          <w:sz w:val="24"/>
          <w:szCs w:val="24"/>
          <w:lang w:val="en-GB"/>
        </w:rPr>
        <w:t>[4]</w:t>
      </w:r>
      <w:r>
        <w:rPr>
          <w:rFonts w:ascii="Times New Roman" w:hAnsi="Times New Roman" w:cs="Times New Roman"/>
          <w:sz w:val="24"/>
          <w:szCs w:val="24"/>
          <w:lang w:val="en-GB"/>
        </w:rPr>
        <w:fldChar w:fldCharType="end"/>
      </w:r>
      <w:r>
        <w:rPr>
          <w:rFonts w:ascii="Times New Roman" w:hAnsi="Times New Roman" w:cs="Times New Roman"/>
          <w:sz w:val="24"/>
          <w:szCs w:val="24"/>
          <w:lang w:val="en-GB"/>
        </w:rPr>
        <w:t>.</w:t>
      </w:r>
    </w:p>
    <w:p>
      <w:pPr>
        <w:tabs>
          <w:tab w:val="right" w:pos="9026"/>
        </w:tabs>
        <w:spacing w:after="0" w:line="480" w:lineRule="auto"/>
        <w:ind w:firstLine="709"/>
        <w:jc w:val="both"/>
        <w:rPr>
          <w:rFonts w:ascii="Times New Roman" w:hAnsi="Times New Roman" w:cs="Times New Roman"/>
          <w:sz w:val="24"/>
          <w:szCs w:val="24"/>
          <w:lang w:val="en-GB"/>
        </w:rPr>
      </w:pPr>
      <w:r>
        <w:rPr>
          <w:rFonts w:ascii="Times New Roman" w:hAnsi="Times New Roman" w:cs="Times New Roman"/>
          <w:sz w:val="24"/>
          <w:szCs w:val="24"/>
          <w:lang w:val="en-GB"/>
        </w:rPr>
        <w:t>CS = (</w:t>
      </w:r>
      <w:r>
        <w:rPr>
          <w:rFonts w:ascii="Times New Roman" w:hAnsi="Times New Roman" w:cs="Times New Roman"/>
          <w:i/>
          <w:iCs/>
          <w:sz w:val="24"/>
          <w:szCs w:val="24"/>
          <w:lang w:val="en-GB"/>
        </w:rPr>
        <w:t>κ</w:t>
      </w:r>
      <w:r>
        <w:rPr>
          <w:rFonts w:ascii="Times New Roman" w:hAnsi="Times New Roman" w:cs="Times New Roman"/>
          <w:sz w:val="24"/>
          <w:szCs w:val="24"/>
          <w:lang w:val="en-GB"/>
        </w:rPr>
        <w:t xml:space="preserve"> × λ)</w:t>
      </w:r>
      <w:proofErr w:type="gramStart"/>
      <w:r>
        <w:rPr>
          <w:rFonts w:ascii="Times New Roman" w:hAnsi="Times New Roman" w:cs="Times New Roman"/>
          <w:sz w:val="24"/>
          <w:szCs w:val="24"/>
          <w:lang w:val="en-GB"/>
        </w:rPr>
        <w:t>/(</w:t>
      </w:r>
      <w:proofErr w:type="gramEnd"/>
      <w:r>
        <w:rPr>
          <w:rFonts w:ascii="Times New Roman" w:hAnsi="Times New Roman" w:cs="Times New Roman"/>
          <w:sz w:val="24"/>
          <w:szCs w:val="24"/>
          <w:lang w:val="en-GB"/>
        </w:rPr>
        <w:t xml:space="preserve">β × </w:t>
      </w:r>
      <w:proofErr w:type="spellStart"/>
      <w:r>
        <w:rPr>
          <w:rFonts w:ascii="Times New Roman" w:hAnsi="Times New Roman" w:cs="Times New Roman"/>
          <w:sz w:val="24"/>
          <w:szCs w:val="24"/>
          <w:lang w:val="en-GB"/>
        </w:rPr>
        <w:t>cosθ</w:t>
      </w:r>
      <w:proofErr w:type="spellEnd"/>
      <w:r>
        <w:rPr>
          <w:rFonts w:ascii="Times New Roman" w:hAnsi="Times New Roman" w:cs="Times New Roman"/>
          <w:sz w:val="24"/>
          <w:szCs w:val="24"/>
          <w:lang w:val="en-GB"/>
        </w:rPr>
        <w:t>)</w:t>
      </w:r>
      <w:r>
        <w:rPr>
          <w:rFonts w:ascii="Times New Roman" w:hAnsi="Times New Roman" w:cs="Times New Roman"/>
          <w:sz w:val="24"/>
          <w:szCs w:val="24"/>
          <w:lang w:val="en-GB"/>
        </w:rPr>
        <w:tab/>
        <w:t>(3)</w:t>
      </w:r>
    </w:p>
    <w:p>
      <w:pPr>
        <w:spacing w:after="0" w:line="480" w:lineRule="auto"/>
        <w:jc w:val="both"/>
        <w:rPr>
          <w:rFonts w:ascii="Times New Roman" w:hAnsi="Times New Roman" w:cs="Times New Roman"/>
          <w:bCs/>
          <w:sz w:val="24"/>
          <w:szCs w:val="24"/>
          <w:lang w:val="en-GB"/>
        </w:rPr>
      </w:pPr>
      <w:r>
        <w:rPr>
          <w:rFonts w:ascii="Times New Roman" w:hAnsi="Times New Roman" w:cs="Times New Roman"/>
          <w:bCs/>
          <w:sz w:val="24"/>
          <w:szCs w:val="24"/>
          <w:lang w:val="en-GB"/>
        </w:rPr>
        <w:t xml:space="preserve">where </w:t>
      </w:r>
      <w:r>
        <w:rPr>
          <w:rFonts w:ascii="Times New Roman" w:hAnsi="Times New Roman" w:cs="Times New Roman"/>
          <w:i/>
          <w:iCs/>
          <w:sz w:val="24"/>
          <w:szCs w:val="24"/>
          <w:lang w:val="en-GB"/>
        </w:rPr>
        <w:t>κ</w:t>
      </w:r>
      <w:r>
        <w:rPr>
          <w:rFonts w:ascii="Times New Roman" w:hAnsi="Times New Roman" w:cs="Times New Roman"/>
          <w:bCs/>
          <w:sz w:val="24"/>
          <w:szCs w:val="24"/>
          <w:lang w:val="en-GB"/>
        </w:rPr>
        <w:t xml:space="preserve"> is Scherrer constant (0.90), </w:t>
      </w:r>
      <w:r>
        <w:rPr>
          <w:rFonts w:ascii="Times New Roman" w:hAnsi="Times New Roman" w:cs="Times New Roman"/>
          <w:sz w:val="24"/>
          <w:szCs w:val="24"/>
          <w:lang w:val="en-GB"/>
        </w:rPr>
        <w:t>λ</w:t>
      </w:r>
      <w:r>
        <w:rPr>
          <w:rFonts w:ascii="Times New Roman" w:hAnsi="Times New Roman" w:cs="Times New Roman"/>
          <w:bCs/>
          <w:sz w:val="24"/>
          <w:szCs w:val="24"/>
          <w:lang w:val="en-GB"/>
        </w:rPr>
        <w:t xml:space="preserve"> is the X-ray wavelength (0.15406 nm), </w:t>
      </w:r>
      <w:r>
        <w:rPr>
          <w:rFonts w:ascii="Times New Roman" w:hAnsi="Times New Roman" w:cs="Times New Roman"/>
          <w:sz w:val="24"/>
          <w:szCs w:val="24"/>
          <w:lang w:val="en-GB"/>
        </w:rPr>
        <w:t>β</w:t>
      </w:r>
      <w:r>
        <w:rPr>
          <w:rFonts w:ascii="Times New Roman" w:hAnsi="Times New Roman" w:cs="Times New Roman"/>
          <w:bCs/>
          <w:sz w:val="24"/>
          <w:szCs w:val="24"/>
          <w:lang w:val="en-GB"/>
        </w:rPr>
        <w:t xml:space="preserve"> is the full width at half maximum (FWHM) of (200) peak, and </w:t>
      </w:r>
      <w:r>
        <w:rPr>
          <w:rFonts w:ascii="Times New Roman" w:hAnsi="Times New Roman" w:cs="Times New Roman"/>
          <w:sz w:val="24"/>
          <w:szCs w:val="24"/>
          <w:lang w:val="en-GB"/>
        </w:rPr>
        <w:t>θ</w:t>
      </w:r>
      <w:r>
        <w:rPr>
          <w:rFonts w:ascii="Times New Roman" w:hAnsi="Times New Roman" w:cs="Times New Roman"/>
          <w:bCs/>
          <w:sz w:val="24"/>
          <w:szCs w:val="24"/>
          <w:lang w:val="en-GB"/>
        </w:rPr>
        <w:t xml:space="preserve"> is diffraction angle of (200) plane </w:t>
      </w:r>
      <w:r>
        <w:rPr>
          <w:rFonts w:ascii="Times New Roman" w:hAnsi="Times New Roman" w:cs="Times New Roman"/>
          <w:bCs/>
          <w:sz w:val="24"/>
          <w:szCs w:val="24"/>
          <w:lang w:val="en-GB"/>
        </w:rPr>
        <w:fldChar w:fldCharType="begin" w:fldLock="1"/>
      </w:r>
      <w:r>
        <w:rPr>
          <w:rFonts w:ascii="Times New Roman" w:hAnsi="Times New Roman" w:cs="Times New Roman"/>
          <w:bCs/>
          <w:sz w:val="24"/>
          <w:szCs w:val="24"/>
          <w:lang w:val="en-GB"/>
        </w:rPr>
        <w:instrText>ADDIN CSL_CITATION {"citationItems":[{"id":"ITEM-1","itemData":{"DOI":"10.1016/j.biortech.2014.10.157","ISSN":"18732976","PMID":"25460979","abstract":"Wet and dry torrefaction of corncobs was conducted in high-pressure reactor and tube-type reactor, respectively. Effect of wet and dry torrefaction on chemical structure and pyrolysis behavior of corncobs was compared. The results showed that hemicellulose could be effectively removed from corncobs by torrefaction. However, dry torrefaction caused severe degradation of cellulose and the cross-linking and charring of corncobs. X-ray diffraction analysis revealed that crystallinity degree of corncobs was evidently enhanced during wet torrefaction, but reduced during dry torrefaction as raising treatment temperature. In thermogravimetric analysis, wet torrefied corncobs produced less carbonaceous residues than raw corncobs, while dry torrefied corncobs gave much more residues owing to increased content of acid insoluble lignin. Pyrolysis-gas chromatography/mass spectroscopy analysis indicated that wet torrefaction significantly promoted levoglucosan yield owing to the removal of alkali metals. Therefore, wet torrefaction can be considered as a more effective pretreatment method for fast pyrolysis of biomass.","author":[{"dropping-particle":"","family":"Zheng","given":"Anqing","non-dropping-particle":"","parse-names":false,"suffix":""},{"dropping-particle":"","family":"Zhao","given":"Zengli","non-dropping-particle":"","parse-names":false,"suffix":""},{"dropping-particle":"","family":"Chang","given":"Sheng","non-dropping-particle":"","parse-names":false,"suffix":""},{"dropping-particle":"","family":"Huang","given":"Zhen","non-dropping-particle":"","parse-names":false,"suffix":""},{"dropping-particle":"","family":"Zhao","given":"Kun","non-dropping-particle":"","parse-names":false,"suffix":""},{"dropping-particle":"","family":"Wei","given":"Guoqiang","non-dropping-particle":"","parse-names":false,"suffix":""},{"dropping-particle":"","family":"He","given":"Fang","non-dropping-particle":"","parse-names":false,"suffix":""},{"dropping-particle":"","family":"Li","given":"Haibin","non-dropping-particle":"","parse-names":false,"suffix":""}],"container-title":"Bioresource Technology","id":"ITEM-1","issued":{"date-parts":[["2015"]]},"page":"15-22","publisher":"Elsevier Ltd","title":"Comparison of the effect of wet and dry torrefaction on chemical structure and pyrolysis behavior of corncobs","type":"article-journal","volume":"176"},"uris":["http://www.mendeley.com/documents/?uuid=6910207a-6382-4733-8196-27866458cb76"]}],"mendeley":{"formattedCitation":"[5]","plainTextFormattedCitation":"[5]","previouslyFormattedCitation":"[5]"},"properties":{"noteIndex":0},"schema":"https://github.com/citation-style-language/schema/raw/master/csl-citation.json"}</w:instrText>
      </w:r>
      <w:r>
        <w:rPr>
          <w:rFonts w:ascii="Times New Roman" w:hAnsi="Times New Roman" w:cs="Times New Roman"/>
          <w:bCs/>
          <w:sz w:val="24"/>
          <w:szCs w:val="24"/>
          <w:lang w:val="en-GB"/>
        </w:rPr>
        <w:fldChar w:fldCharType="separate"/>
      </w:r>
      <w:r>
        <w:rPr>
          <w:rFonts w:ascii="Times New Roman" w:hAnsi="Times New Roman" w:cs="Times New Roman"/>
          <w:bCs/>
          <w:noProof/>
          <w:sz w:val="24"/>
          <w:szCs w:val="24"/>
          <w:lang w:val="en-GB"/>
        </w:rPr>
        <w:t>[5]</w:t>
      </w:r>
      <w:r>
        <w:rPr>
          <w:rFonts w:ascii="Times New Roman" w:hAnsi="Times New Roman" w:cs="Times New Roman"/>
          <w:bCs/>
          <w:sz w:val="24"/>
          <w:szCs w:val="24"/>
          <w:lang w:val="en-GB"/>
        </w:rPr>
        <w:fldChar w:fldCharType="end"/>
      </w:r>
      <w:r>
        <w:rPr>
          <w:rFonts w:ascii="Times New Roman" w:hAnsi="Times New Roman" w:cs="Times New Roman"/>
          <w:bCs/>
          <w:sz w:val="24"/>
          <w:szCs w:val="24"/>
          <w:lang w:val="en-GB"/>
        </w:rPr>
        <w:t>.</w:t>
      </w:r>
    </w:p>
    <w:p>
      <w:pPr>
        <w:spacing w:after="0" w:line="480" w:lineRule="auto"/>
        <w:ind w:firstLine="709"/>
        <w:jc w:val="both"/>
        <w:rPr>
          <w:rFonts w:ascii="Times New Roman" w:hAnsi="Times New Roman" w:cs="Times New Roman"/>
          <w:sz w:val="24"/>
          <w:szCs w:val="24"/>
          <w:lang w:val="en-GB"/>
        </w:rPr>
      </w:pPr>
      <w:r>
        <w:rPr>
          <w:rFonts w:ascii="Times New Roman" w:hAnsi="Times New Roman" w:cs="Times New Roman"/>
          <w:bCs/>
          <w:sz w:val="24"/>
          <w:szCs w:val="24"/>
          <w:lang w:val="en-GB"/>
        </w:rPr>
        <w:t>Investigation of the pyrolysis of raw material and WT samples was conducted using a TGA-IR (thermogravimetric analysis-infrared spectrometry) Spectrum 3 with EGA 4000 from PerkinElmer. Each test utilized approximately 10 mg of sample, and the heating process involved raising the temperature from 40 to 750 °C at a rate of 10 °C/min. A carrier gas of nitrogen with a purity exceeding 99.999% was employed, with a flow rate of 20 mL/min. The computer automatically recorded the experimental results obtained from TGA.</w:t>
      </w:r>
    </w:p>
    <w:p>
      <w:pPr>
        <w:spacing w:after="0" w:line="480" w:lineRule="auto"/>
        <w:ind w:firstLine="709"/>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The moisture, volatile matter, fixed carbon, and ash content of the raw and WT wood cellulose pulp residue were determined using proximate analysis method and a thermal gravimetric </w:t>
      </w:r>
      <w:proofErr w:type="spellStart"/>
      <w:r>
        <w:rPr>
          <w:rFonts w:ascii="Times New Roman" w:hAnsi="Times New Roman" w:cs="Times New Roman"/>
          <w:sz w:val="24"/>
          <w:szCs w:val="24"/>
          <w:lang w:val="en-GB"/>
        </w:rPr>
        <w:t>analyzer</w:t>
      </w:r>
      <w:proofErr w:type="spellEnd"/>
      <w:r>
        <w:rPr>
          <w:rFonts w:ascii="Times New Roman" w:hAnsi="Times New Roman" w:cs="Times New Roman"/>
          <w:sz w:val="24"/>
          <w:szCs w:val="24"/>
          <w:lang w:val="en-GB"/>
        </w:rPr>
        <w:t xml:space="preserve"> (Spectrum 3 with EGA 4000 from PerkinElmer) </w:t>
      </w:r>
      <w:r>
        <w:rPr>
          <w:rFonts w:ascii="Times New Roman" w:hAnsi="Times New Roman" w:cs="Times New Roman"/>
          <w:sz w:val="24"/>
          <w:szCs w:val="24"/>
          <w:lang w:val="en-GB"/>
        </w:rPr>
        <w:fldChar w:fldCharType="begin" w:fldLock="1"/>
      </w:r>
      <w:r>
        <w:rPr>
          <w:rFonts w:ascii="Times New Roman" w:hAnsi="Times New Roman" w:cs="Times New Roman"/>
          <w:sz w:val="24"/>
          <w:szCs w:val="24"/>
          <w:lang w:val="en-GB"/>
        </w:rPr>
        <w:instrText>ADDIN CSL_CITATION {"citationItems":[{"id":"ITEM-1","itemData":{"DOI":"10.1016/j.biortech.2013.03.197","ISSN":"18732976","PMID":"23644064","abstract":"This work proposes a 25. min-last thermogravimetric method as a tool to determine biomass sample's proximate analysis data (moisture, ash, volatile matter and fixed carbon contents) just by direct measure of weight changes on each sample's TG chart. Compared with international standards commonly used to that aim, TG is a faster and easier to develop technique. Obtained results were satisfactory, with AEE under 6% for moisture and volatile matter, close to 10% for fixed carbon determination and AAD of 1.6 points for ash content. © 2013 Elsevier Ltd.","author":[{"dropping-particle":"","family":"García","given":"Roberto","non-dropping-particle":"","parse-names":false,"suffix":""},{"dropping-particle":"","family":"Pizarro","given":"Consuelo","non-dropping-particle":"","parse-names":false,"suffix":""},{"dropping-particle":"","family":"Lavín","given":"Antonio G.","non-dropping-particle":"","parse-names":false,"suffix":""},{"dropping-particle":"","family":"Bueno","given":"Julio L.","non-dropping-particle":"","parse-names":false,"suffix":""}],"container-title":"Bioresource Technology","id":"ITEM-1","issued":{"date-parts":[["2013"]]},"page":"1-4","publisher":"Elsevier Ltd","title":"Biomass proximate analysis using thermogravimetry","type":"article-journal","volume":"139"},"uris":["http://www.mendeley.com/documents/?uuid=61c281f0-5ed4-4161-b3e1-bcab6c695341"]},{"id":"ITEM-2","itemData":{"DOI":"10.1016/j.fuel.2020.119379","ISSN":"00162361","abstract":"The present work studies the effects of oxidative torrefaction (OT) (200–290 °C, 0–8 vol% O2) on the combustion process of wood sphere in a single particle combustor (SPC, 1226 °C, 3.0 vol% O2, wet basis), together with such effects on the yield, reactivity and morphology of the high temperature produced char. Increased torrefaction O2 concentration and temperature both result in higher char yield and prolonged combustion time, and the SPC char yield can be described by a linear regression equation (R2 = 0.85) as a function of the decreased mass yield caused by the OT process. The correlation (R2 = 0.83) between the low heating rate char yield (i.e., fixed carbon content) and the torrefaction mass yield is also validated against literature data, indicating that mass yield is a good indicator for both the OT and traditional inert torrefaction. The TGA analysis suggests that the char reactivity is significantly reduced by raised OT temperature up to 290 °C, while is only limited influenced by the increase in O2 concentration (up to 8 vol% at OT temperature of 260 °C). The NMR analysis of the OT wood and the SEM observation of the OT char produce from SPC show some evidences that OT result in a more cross-linked aromatic structure, which may hinder the volatile release in the subsequent pyrolysis and thereby lead to less porous char surface and a denser and heavier char particle.","author":[{"dropping-particle":"","family":"Li","given":"Xin","non-dropping-particle":"","parse-names":false,"suffix":""},{"dropping-particle":"","family":"Lu","given":"Zhimin","non-dropping-particle":"","parse-names":false,"suffix":""},{"dropping-particle":"","family":"Chen","given":"Jinzheng","non-dropping-particle":"","parse-names":false,"suffix":""},{"dropping-particle":"","family":"Chen","given":"Xiaoxuan","non-dropping-particle":"","parse-names":false,"suffix":""},{"dropping-particle":"","family":"Jiang","given":"Yuan","non-dropping-particle":"","parse-names":false,"suffix":""},{"dropping-particle":"","family":"Jian","given":"Jie","non-dropping-particle":"","parse-names":false,"suffix":""},{"dropping-particle":"","family":"Yao","given":"Shunchun","non-dropping-particle":"","parse-names":false,"suffix":""}],"container-title":"Fuel","id":"ITEM-2","issued":{"date-parts":[["2021"]]},"page":"119379","publisher":"Elsevier Ltd","title":"Effect of oxidative torrefaction on high temperature combustion process of wood sphere","type":"article-journal","volume":"286"},"uris":["http://www.mendeley.com/documents/?uuid=4c844e00-ff21-436c-ae40-3939eb981f65"]}],"mendeley":{"formattedCitation":"[6,7]","plainTextFormattedCitation":"[6,7]","previouslyFormattedCitation":"[6,7]"},"properties":{"noteIndex":0},"schema":"https://github.com/citation-style-language/schema/raw/master/csl-citation.json"}</w:instrText>
      </w:r>
      <w:r>
        <w:rPr>
          <w:rFonts w:ascii="Times New Roman" w:hAnsi="Times New Roman" w:cs="Times New Roman"/>
          <w:sz w:val="24"/>
          <w:szCs w:val="24"/>
          <w:lang w:val="en-GB"/>
        </w:rPr>
        <w:fldChar w:fldCharType="separate"/>
      </w:r>
      <w:r>
        <w:rPr>
          <w:rFonts w:ascii="Times New Roman" w:hAnsi="Times New Roman" w:cs="Times New Roman"/>
          <w:noProof/>
          <w:sz w:val="24"/>
          <w:szCs w:val="24"/>
          <w:lang w:val="en-GB"/>
        </w:rPr>
        <w:t>[6,7]</w:t>
      </w:r>
      <w:r>
        <w:rPr>
          <w:rFonts w:ascii="Times New Roman" w:hAnsi="Times New Roman" w:cs="Times New Roman"/>
          <w:sz w:val="24"/>
          <w:szCs w:val="24"/>
          <w:lang w:val="en-GB"/>
        </w:rPr>
        <w:fldChar w:fldCharType="end"/>
      </w:r>
      <w:r>
        <w:rPr>
          <w:rFonts w:ascii="Times New Roman" w:hAnsi="Times New Roman" w:cs="Times New Roman"/>
          <w:sz w:val="24"/>
          <w:szCs w:val="24"/>
          <w:lang w:val="en-GB"/>
        </w:rPr>
        <w:t>. For this analysis, approximately 10 mg of the sample was subjected to a heating process in a nitrogen environment, starting from 40 °C and reaching 120 °C, with a 10 min hold to measure the moisture content (M, %). Next, a heating rate of 50 °C/min was programmed until 800 °C, and a 20 min hold was employed to measure the volatile matter (VM, %). To determine the ash content (Ash, %), the cooling process commenced with a cooling rate of ‒50 °C/min until 450 °C was reached, at which point the flue gas was replaced with air. Subsequently, a new heating ramp of 25 °C/min was initiated until 800 °C, and then maintained isothermally for 3 min. The fixed carbon content (FC, %) was calculated by taking the difference using the equation:</w:t>
      </w:r>
    </w:p>
    <w:p>
      <w:pPr>
        <w:tabs>
          <w:tab w:val="right" w:pos="9026"/>
        </w:tabs>
        <w:spacing w:after="0" w:line="480" w:lineRule="auto"/>
        <w:ind w:firstLine="709"/>
        <w:jc w:val="both"/>
        <w:rPr>
          <w:rFonts w:ascii="Times New Roman" w:hAnsi="Times New Roman" w:cs="Times New Roman"/>
          <w:sz w:val="24"/>
          <w:szCs w:val="24"/>
          <w:lang w:val="en-GB"/>
        </w:rPr>
      </w:pPr>
      <w:r>
        <w:rPr>
          <w:rFonts w:ascii="Times New Roman" w:hAnsi="Times New Roman" w:cs="Times New Roman"/>
          <w:sz w:val="24"/>
          <w:szCs w:val="24"/>
          <w:lang w:val="en-GB"/>
        </w:rPr>
        <w:t>FC = 100 ‒ (M + Ash + VM).</w:t>
      </w:r>
      <w:r>
        <w:rPr>
          <w:rFonts w:ascii="Times New Roman" w:hAnsi="Times New Roman" w:cs="Times New Roman"/>
          <w:sz w:val="24"/>
          <w:szCs w:val="24"/>
          <w:lang w:val="en-GB"/>
        </w:rPr>
        <w:tab/>
        <w:t>(4)</w:t>
      </w:r>
    </w:p>
    <w:p>
      <w:pPr>
        <w:tabs>
          <w:tab w:val="right" w:pos="9026"/>
        </w:tabs>
        <w:spacing w:after="0" w:line="480" w:lineRule="auto"/>
        <w:jc w:val="both"/>
        <w:rPr>
          <w:rFonts w:ascii="Times New Roman" w:hAnsi="Times New Roman"/>
          <w:bCs/>
          <w:sz w:val="24"/>
          <w:szCs w:val="24"/>
          <w:lang w:val="en-GB"/>
        </w:rPr>
      </w:pPr>
      <w:r>
        <w:rPr>
          <w:rFonts w:ascii="Times New Roman" w:hAnsi="Times New Roman" w:cs="Times New Roman"/>
          <w:bCs/>
          <w:sz w:val="24"/>
          <w:szCs w:val="24"/>
          <w:lang w:val="en-GB"/>
        </w:rPr>
        <w:lastRenderedPageBreak/>
        <w:t xml:space="preserve">Equation 5 was used to calculate the higher heating value (HHV) for both the WCPR and </w:t>
      </w:r>
      <w:r>
        <w:rPr>
          <w:rFonts w:ascii="Times New Roman" w:hAnsi="Times New Roman"/>
          <w:bCs/>
          <w:sz w:val="24"/>
          <w:szCs w:val="24"/>
          <w:lang w:val="en-GB"/>
        </w:rPr>
        <w:t>DT WCPR</w:t>
      </w:r>
      <w:r>
        <w:rPr>
          <w:rFonts w:ascii="Times New Roman" w:hAnsi="Times New Roman" w:cs="Times New Roman"/>
          <w:bCs/>
          <w:sz w:val="24"/>
          <w:szCs w:val="24"/>
          <w:lang w:val="en-GB"/>
        </w:rPr>
        <w:t xml:space="preserve"> </w:t>
      </w:r>
      <w:r>
        <w:rPr>
          <w:rFonts w:ascii="Times New Roman" w:hAnsi="Times New Roman" w:cs="Times New Roman"/>
          <w:bCs/>
          <w:sz w:val="24"/>
          <w:szCs w:val="24"/>
          <w:lang w:val="en-GB"/>
        </w:rPr>
        <w:fldChar w:fldCharType="begin" w:fldLock="1"/>
      </w:r>
      <w:r>
        <w:rPr>
          <w:rFonts w:ascii="Times New Roman" w:hAnsi="Times New Roman" w:cs="Times New Roman"/>
          <w:bCs/>
          <w:sz w:val="24"/>
          <w:szCs w:val="24"/>
          <w:lang w:val="en-GB"/>
        </w:rPr>
        <w:instrText>ADDIN CSL_CITATION {"citationItems":[{"id":"ITEM-1","itemData":{"DOI":"10.1016/j.cej.2022.138134","ISSN":"13858947","abstract":"Chemical looping gasification (CLG) is a novel approach to efficiently convert rapeseed cake (RC) to tunable syngas and NH3. However, the low energy density of RC seriously hinders its utilization. Meanwhile, torrefaction is an effective pretreatment for biomass upgrading. Hence, the combination of torrefaction with CLG is proposed as an alternative technology to efficiently utilize RC. In this work, the effect of torrefaction temperature on the evolution behaviors of carbon and nitrogen in CLG of RC with Ca2Fe2O5 OC was systematically investigated using TG-FTIR. Results show that torrefaction can effectively improve the physiochemical properties of RC. The torrefied RC possesses higher energy density and HHV, and lower atomic H/C and O/C ratios. Additionally, higher torrefaction temperature can facilitate the thermal degradations of N-IN and labile N[sbnd]P, with the productions of NH3 and HCN. During CLG, the rise of OC/Fuel mass ratio can increase the yields of the major gases (CO2, CO, CH4, NH3 and HCN), owing to both the oxidative effect of the lattice oxygen (O*) and the catalytic effects of Fe3+ and Ca2+ in OC. Moreover, torrefaction pretreatment can improve the CLG behavior of RC and the optimal torrefaction temperature is 250 °C, attributing to the improvement of fuel stability after torrefaction. Besides, torrefaction can marginally reduce the yields of the major nitrogen species (NH3 and HCN). This is ascribed to both the more stable structure of heterocyclic-N and the insufficiency of H radical in the torrefied RC compared to the raw. These findings provide a feasible guidance for the effective insight in nitrogen evolution during CLG coupled with torrefaction, and thereafter for the efficient utilization of biomass.","author":[{"dropping-particle":"","family":"Niu","given":"Xin","non-dropping-particle":"","parse-names":false,"suffix":""},{"dropping-particle":"","family":"Xu","given":"Yonglai","non-dropping-particle":"","parse-names":false,"suffix":""},{"dropping-particle":"","family":"Shen","given":"Laihong","non-dropping-particle":"","parse-names":false,"suffix":""}],"container-title":"Chemical Engineering Journal","id":"ITEM-1","issued":{"date-parts":[["2022"]]},"page":"138134","publisher":"Elsevier B.V.","title":"Effect of torrefaction on the evolution of carbon and nitrogen during chemical looping gasification of rapeseed cake","type":"article-journal","volume":"450"},"uris":["http://www.mendeley.com/documents/?uuid=25723f32-68ee-4fb0-9ef9-36d8ecc2e7ea"]}],"mendeley":{"formattedCitation":"[8]","plainTextFormattedCitation":"[8]","previouslyFormattedCitation":"[8]"},"properties":{"noteIndex":0},"schema":"https://github.com/citation-style-language/schema/raw/master/csl-citation.json"}</w:instrText>
      </w:r>
      <w:r>
        <w:rPr>
          <w:rFonts w:ascii="Times New Roman" w:hAnsi="Times New Roman" w:cs="Times New Roman"/>
          <w:bCs/>
          <w:sz w:val="24"/>
          <w:szCs w:val="24"/>
          <w:lang w:val="en-GB"/>
        </w:rPr>
        <w:fldChar w:fldCharType="separate"/>
      </w:r>
      <w:r>
        <w:rPr>
          <w:rFonts w:ascii="Times New Roman" w:hAnsi="Times New Roman" w:cs="Times New Roman"/>
          <w:bCs/>
          <w:noProof/>
          <w:sz w:val="24"/>
          <w:szCs w:val="24"/>
          <w:lang w:val="en-GB"/>
        </w:rPr>
        <w:t>[8]</w:t>
      </w:r>
      <w:r>
        <w:rPr>
          <w:rFonts w:ascii="Times New Roman" w:hAnsi="Times New Roman" w:cs="Times New Roman"/>
          <w:bCs/>
          <w:sz w:val="24"/>
          <w:szCs w:val="24"/>
          <w:lang w:val="en-GB"/>
        </w:rPr>
        <w:fldChar w:fldCharType="end"/>
      </w:r>
      <w:r>
        <w:rPr>
          <w:rFonts w:ascii="Times New Roman" w:hAnsi="Times New Roman" w:cs="Times New Roman"/>
          <w:bCs/>
          <w:sz w:val="24"/>
          <w:szCs w:val="24"/>
          <w:lang w:val="en-GB"/>
        </w:rPr>
        <w:t>.</w:t>
      </w:r>
      <w:bookmarkStart w:id="1" w:name="_Hlk152017902"/>
    </w:p>
    <w:p>
      <w:pPr>
        <w:tabs>
          <w:tab w:val="right" w:pos="9026"/>
        </w:tabs>
        <w:spacing w:after="0" w:line="480" w:lineRule="auto"/>
        <w:jc w:val="both"/>
        <w:rPr>
          <w:rFonts w:ascii="Times New Roman" w:hAnsi="Times New Roman" w:cs="Times New Roman"/>
          <w:bCs/>
          <w:sz w:val="24"/>
          <w:szCs w:val="24"/>
          <w:lang w:val="en-GB"/>
        </w:rPr>
      </w:pPr>
    </w:p>
    <w:p>
      <w:pPr>
        <w:tabs>
          <w:tab w:val="right" w:pos="9026"/>
        </w:tabs>
        <w:spacing w:after="0" w:line="480" w:lineRule="auto"/>
        <w:jc w:val="both"/>
        <w:rPr>
          <w:rFonts w:ascii="Times New Roman" w:hAnsi="Times New Roman"/>
          <w:bCs/>
          <w:sz w:val="24"/>
          <w:szCs w:val="24"/>
          <w:lang w:val="en-GB"/>
        </w:rPr>
      </w:pPr>
      <w:r>
        <w:rPr>
          <w:rFonts w:ascii="Times New Roman" w:hAnsi="Times New Roman" w:cs="Times New Roman"/>
          <w:bCs/>
          <w:sz w:val="24"/>
          <w:szCs w:val="24"/>
          <w:lang w:val="en-GB"/>
        </w:rPr>
        <w:t xml:space="preserve">HHV (MJ/kg) = 0.3491×C + 1.1783×H – 0.1034×O + 0.1005×S – 0.0151×N – 0.0211×A </w:t>
      </w:r>
      <w:r>
        <w:rPr>
          <w:rFonts w:ascii="Times New Roman" w:hAnsi="Times New Roman" w:cs="Times New Roman"/>
          <w:bCs/>
          <w:sz w:val="24"/>
          <w:szCs w:val="24"/>
          <w:lang w:val="en-GB"/>
        </w:rPr>
        <w:tab/>
        <w:t>(5)</w:t>
      </w:r>
      <w:bookmarkEnd w:id="1"/>
    </w:p>
    <w:p>
      <w:pPr>
        <w:tabs>
          <w:tab w:val="right" w:pos="9026"/>
        </w:tabs>
        <w:spacing w:after="0" w:line="480" w:lineRule="auto"/>
        <w:jc w:val="both"/>
        <w:rPr>
          <w:rFonts w:ascii="Times New Roman" w:hAnsi="Times New Roman" w:cs="Times New Roman"/>
          <w:bCs/>
          <w:sz w:val="24"/>
          <w:szCs w:val="24"/>
          <w:lang w:val="en-GB"/>
        </w:rPr>
      </w:pPr>
    </w:p>
    <w:p>
      <w:pPr>
        <w:spacing w:after="0" w:line="480" w:lineRule="auto"/>
        <w:ind w:firstLine="709"/>
        <w:jc w:val="both"/>
        <w:rPr>
          <w:rFonts w:ascii="Times New Roman" w:hAnsi="Times New Roman" w:cs="Times New Roman"/>
          <w:sz w:val="24"/>
          <w:szCs w:val="24"/>
          <w:lang w:val="en-GB"/>
        </w:rPr>
      </w:pPr>
      <w:r>
        <w:rPr>
          <w:rFonts w:ascii="Times New Roman" w:hAnsi="Times New Roman" w:cs="Times New Roman"/>
          <w:bCs/>
          <w:sz w:val="24"/>
          <w:szCs w:val="24"/>
          <w:lang w:val="en-GB"/>
        </w:rPr>
        <w:t>In Equation 5, C, H, O, S, N and A represent the carbon, hydrogen, oxygen</w:t>
      </w:r>
      <w:r>
        <w:rPr>
          <w:rFonts w:ascii="Times New Roman" w:hAnsi="Times New Roman" w:cs="Times New Roman"/>
          <w:sz w:val="24"/>
          <w:szCs w:val="24"/>
          <w:lang w:val="en-GB"/>
        </w:rPr>
        <w:t xml:space="preserve">, </w:t>
      </w:r>
      <w:proofErr w:type="spellStart"/>
      <w:r>
        <w:rPr>
          <w:rFonts w:ascii="Times New Roman" w:hAnsi="Times New Roman" w:cs="Times New Roman"/>
          <w:sz w:val="24"/>
          <w:szCs w:val="24"/>
          <w:lang w:val="en-GB"/>
        </w:rPr>
        <w:t>sulfur</w:t>
      </w:r>
      <w:proofErr w:type="spellEnd"/>
      <w:r>
        <w:rPr>
          <w:rFonts w:ascii="Times New Roman" w:hAnsi="Times New Roman" w:cs="Times New Roman"/>
          <w:sz w:val="24"/>
          <w:szCs w:val="24"/>
          <w:lang w:val="en-GB"/>
        </w:rPr>
        <w:t xml:space="preserve">, nitrogen, and ash contents, respectively, obtained from the elemental analysis and expressed as weight percentages on a dry basis. The use of these equations enables the calculation of both the higher and lower heating values of the biomass. This, in turn, offers a comprehensive understanding of the energy properties of the biomass during torrefaction conditions. </w:t>
      </w:r>
    </w:p>
    <w:p>
      <w:pPr>
        <w:spacing w:after="0" w:line="480" w:lineRule="auto"/>
        <w:ind w:firstLine="709"/>
        <w:jc w:val="both"/>
        <w:rPr>
          <w:rFonts w:ascii="Times New Roman" w:hAnsi="Times New Roman" w:cs="Times New Roman"/>
          <w:sz w:val="24"/>
          <w:szCs w:val="24"/>
          <w:lang w:val="en-GB"/>
        </w:rPr>
      </w:pPr>
      <w:r>
        <w:rPr>
          <w:rFonts w:ascii="Times New Roman" w:hAnsi="Times New Roman" w:cs="Times New Roman"/>
          <w:sz w:val="24"/>
          <w:szCs w:val="24"/>
          <w:lang w:val="en-GB"/>
        </w:rPr>
        <w:t>The formulas used to calculate the solid yield and energy yield of the torrefied samples were as follows:</w:t>
      </w:r>
    </w:p>
    <w:p>
      <w:pPr>
        <w:tabs>
          <w:tab w:val="right" w:pos="9026"/>
        </w:tabs>
        <w:spacing w:after="0" w:line="480" w:lineRule="auto"/>
        <w:jc w:val="both"/>
        <w:rPr>
          <w:rFonts w:ascii="Times New Roman" w:hAnsi="Times New Roman" w:cs="Times New Roman"/>
          <w:sz w:val="24"/>
          <w:szCs w:val="24"/>
          <w:lang w:val="en-GB"/>
        </w:rPr>
      </w:pPr>
      <w:proofErr w:type="spellStart"/>
      <w:r>
        <w:rPr>
          <w:rFonts w:ascii="Times New Roman" w:hAnsi="Times New Roman" w:cs="Times New Roman"/>
          <w:sz w:val="24"/>
          <w:szCs w:val="24"/>
          <w:lang w:val="en-GB"/>
        </w:rPr>
        <w:t>Y</w:t>
      </w:r>
      <w:r>
        <w:rPr>
          <w:rFonts w:ascii="Times New Roman" w:hAnsi="Times New Roman" w:cs="Times New Roman"/>
          <w:sz w:val="24"/>
          <w:szCs w:val="24"/>
          <w:vertAlign w:val="subscript"/>
          <w:lang w:val="en-GB"/>
        </w:rPr>
        <w:t>solid</w:t>
      </w:r>
      <w:proofErr w:type="spellEnd"/>
      <w:r>
        <w:rPr>
          <w:rFonts w:ascii="Times New Roman" w:hAnsi="Times New Roman" w:cs="Times New Roman"/>
          <w:sz w:val="24"/>
          <w:szCs w:val="24"/>
          <w:lang w:val="en-GB"/>
        </w:rPr>
        <w:t xml:space="preserve"> = (</w:t>
      </w:r>
      <w:proofErr w:type="spellStart"/>
      <w:r>
        <w:rPr>
          <w:rFonts w:ascii="Times New Roman" w:hAnsi="Times New Roman" w:cs="Times New Roman"/>
          <w:sz w:val="24"/>
          <w:szCs w:val="24"/>
          <w:lang w:val="en-GB"/>
        </w:rPr>
        <w:t>m</w:t>
      </w:r>
      <w:r>
        <w:rPr>
          <w:rFonts w:ascii="Times New Roman" w:hAnsi="Times New Roman" w:cs="Times New Roman"/>
          <w:sz w:val="24"/>
          <w:szCs w:val="24"/>
          <w:vertAlign w:val="subscript"/>
          <w:lang w:val="en-GB"/>
        </w:rPr>
        <w:t>poduct</w:t>
      </w:r>
      <w:proofErr w:type="spellEnd"/>
      <w:r>
        <w:rPr>
          <w:rFonts w:ascii="Times New Roman" w:hAnsi="Times New Roman" w:cs="Times New Roman"/>
          <w:sz w:val="24"/>
          <w:szCs w:val="24"/>
          <w:lang w:val="en-GB"/>
        </w:rPr>
        <w:t>/</w:t>
      </w:r>
      <w:proofErr w:type="spellStart"/>
      <w:r>
        <w:rPr>
          <w:rFonts w:ascii="Times New Roman" w:hAnsi="Times New Roman" w:cs="Times New Roman"/>
          <w:sz w:val="24"/>
          <w:szCs w:val="24"/>
          <w:lang w:val="en-GB"/>
        </w:rPr>
        <w:t>m</w:t>
      </w:r>
      <w:r>
        <w:rPr>
          <w:rFonts w:ascii="Times New Roman" w:hAnsi="Times New Roman" w:cs="Times New Roman"/>
          <w:sz w:val="24"/>
          <w:szCs w:val="24"/>
          <w:vertAlign w:val="subscript"/>
          <w:lang w:val="en-GB"/>
        </w:rPr>
        <w:t>feedstock</w:t>
      </w:r>
      <w:proofErr w:type="spellEnd"/>
      <w:r>
        <w:rPr>
          <w:rFonts w:ascii="Times New Roman" w:hAnsi="Times New Roman" w:cs="Times New Roman"/>
          <w:sz w:val="24"/>
          <w:szCs w:val="24"/>
          <w:lang w:val="en-GB"/>
        </w:rPr>
        <w:t>) × 100%</w:t>
      </w:r>
      <w:r>
        <w:rPr>
          <w:rFonts w:ascii="Times New Roman" w:hAnsi="Times New Roman" w:cs="Times New Roman"/>
          <w:sz w:val="24"/>
          <w:szCs w:val="24"/>
          <w:lang w:val="en-GB"/>
        </w:rPr>
        <w:tab/>
        <w:t>(6)</w:t>
      </w:r>
    </w:p>
    <w:p>
      <w:pPr>
        <w:tabs>
          <w:tab w:val="right" w:pos="9026"/>
        </w:tabs>
        <w:spacing w:after="0" w:line="480" w:lineRule="auto"/>
        <w:jc w:val="both"/>
        <w:rPr>
          <w:rFonts w:ascii="Times New Roman" w:hAnsi="Times New Roman" w:cs="Times New Roman"/>
          <w:sz w:val="24"/>
          <w:szCs w:val="24"/>
          <w:lang w:val="en-GB"/>
        </w:rPr>
      </w:pPr>
      <w:proofErr w:type="spellStart"/>
      <w:r>
        <w:rPr>
          <w:rFonts w:ascii="Times New Roman" w:hAnsi="Times New Roman" w:cs="Times New Roman"/>
          <w:sz w:val="24"/>
          <w:szCs w:val="24"/>
          <w:lang w:val="en-GB"/>
        </w:rPr>
        <w:t>Y</w:t>
      </w:r>
      <w:r>
        <w:rPr>
          <w:rFonts w:ascii="Times New Roman" w:hAnsi="Times New Roman" w:cs="Times New Roman"/>
          <w:sz w:val="24"/>
          <w:szCs w:val="24"/>
          <w:vertAlign w:val="subscript"/>
          <w:lang w:val="en-GB"/>
        </w:rPr>
        <w:t>energy</w:t>
      </w:r>
      <w:proofErr w:type="spellEnd"/>
      <w:r>
        <w:rPr>
          <w:rFonts w:ascii="Times New Roman" w:hAnsi="Times New Roman" w:cs="Times New Roman"/>
          <w:sz w:val="24"/>
          <w:szCs w:val="24"/>
          <w:lang w:val="en-GB"/>
        </w:rPr>
        <w:t xml:space="preserve"> = ((</w:t>
      </w:r>
      <w:proofErr w:type="spellStart"/>
      <w:r>
        <w:rPr>
          <w:rFonts w:ascii="Times New Roman" w:hAnsi="Times New Roman" w:cs="Times New Roman"/>
          <w:sz w:val="24"/>
          <w:szCs w:val="24"/>
          <w:lang w:val="en-GB"/>
        </w:rPr>
        <w:t>Y</w:t>
      </w:r>
      <w:r>
        <w:rPr>
          <w:rFonts w:ascii="Times New Roman" w:hAnsi="Times New Roman" w:cs="Times New Roman"/>
          <w:sz w:val="24"/>
          <w:szCs w:val="24"/>
          <w:vertAlign w:val="subscript"/>
          <w:lang w:val="en-GB"/>
        </w:rPr>
        <w:t>solid</w:t>
      </w:r>
      <w:proofErr w:type="spellEnd"/>
      <w:r>
        <w:rPr>
          <w:rFonts w:ascii="Times New Roman" w:hAnsi="Times New Roman" w:cs="Times New Roman"/>
          <w:sz w:val="24"/>
          <w:szCs w:val="24"/>
          <w:lang w:val="en-GB"/>
        </w:rPr>
        <w:t xml:space="preserve"> × </w:t>
      </w:r>
      <w:proofErr w:type="spellStart"/>
      <w:r>
        <w:rPr>
          <w:rFonts w:ascii="Times New Roman" w:hAnsi="Times New Roman" w:cs="Times New Roman"/>
          <w:sz w:val="24"/>
          <w:szCs w:val="24"/>
          <w:lang w:val="en-GB"/>
        </w:rPr>
        <w:t>HHV</w:t>
      </w:r>
      <w:r>
        <w:rPr>
          <w:rFonts w:ascii="Times New Roman" w:hAnsi="Times New Roman" w:cs="Times New Roman"/>
          <w:sz w:val="24"/>
          <w:szCs w:val="24"/>
          <w:vertAlign w:val="subscript"/>
          <w:lang w:val="en-GB"/>
        </w:rPr>
        <w:t>product</w:t>
      </w:r>
      <w:proofErr w:type="spellEnd"/>
      <w:r>
        <w:rPr>
          <w:rFonts w:ascii="Times New Roman" w:hAnsi="Times New Roman" w:cs="Times New Roman"/>
          <w:sz w:val="24"/>
          <w:szCs w:val="24"/>
          <w:lang w:val="en-GB"/>
        </w:rPr>
        <w:t>)/</w:t>
      </w:r>
      <w:proofErr w:type="spellStart"/>
      <w:r>
        <w:rPr>
          <w:rFonts w:ascii="Times New Roman" w:hAnsi="Times New Roman" w:cs="Times New Roman"/>
          <w:sz w:val="24"/>
          <w:szCs w:val="24"/>
          <w:lang w:val="en-GB"/>
        </w:rPr>
        <w:t>HHV</w:t>
      </w:r>
      <w:r>
        <w:rPr>
          <w:rFonts w:ascii="Times New Roman" w:hAnsi="Times New Roman" w:cs="Times New Roman"/>
          <w:sz w:val="24"/>
          <w:szCs w:val="24"/>
          <w:vertAlign w:val="subscript"/>
          <w:lang w:val="en-GB"/>
        </w:rPr>
        <w:t>feedstock</w:t>
      </w:r>
      <w:proofErr w:type="spellEnd"/>
      <w:r>
        <w:rPr>
          <w:rFonts w:ascii="Times New Roman" w:hAnsi="Times New Roman" w:cs="Times New Roman"/>
          <w:sz w:val="24"/>
          <w:szCs w:val="24"/>
          <w:lang w:val="en-GB"/>
        </w:rPr>
        <w:t xml:space="preserve">) × 100% = </w:t>
      </w:r>
      <w:proofErr w:type="spellStart"/>
      <w:r>
        <w:rPr>
          <w:rFonts w:ascii="Times New Roman" w:hAnsi="Times New Roman" w:cs="Times New Roman"/>
          <w:sz w:val="24"/>
          <w:szCs w:val="24"/>
          <w:lang w:val="en-GB"/>
        </w:rPr>
        <w:t>Y</w:t>
      </w:r>
      <w:r>
        <w:rPr>
          <w:rFonts w:ascii="Times New Roman" w:hAnsi="Times New Roman" w:cs="Times New Roman"/>
          <w:sz w:val="24"/>
          <w:szCs w:val="24"/>
          <w:vertAlign w:val="subscript"/>
          <w:lang w:val="en-GB"/>
        </w:rPr>
        <w:t>solid</w:t>
      </w:r>
      <w:proofErr w:type="spellEnd"/>
      <w:r>
        <w:rPr>
          <w:rFonts w:ascii="Times New Roman" w:hAnsi="Times New Roman" w:cs="Times New Roman"/>
          <w:sz w:val="24"/>
          <w:szCs w:val="24"/>
          <w:lang w:val="en-GB"/>
        </w:rPr>
        <w:t xml:space="preserve"> × Enhancement factor</w:t>
      </w:r>
      <w:r>
        <w:rPr>
          <w:rFonts w:ascii="Times New Roman" w:hAnsi="Times New Roman" w:cs="Times New Roman"/>
          <w:sz w:val="24"/>
          <w:szCs w:val="24"/>
          <w:lang w:val="en-GB"/>
        </w:rPr>
        <w:tab/>
        <w:t>(7)</w:t>
      </w:r>
    </w:p>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where </w:t>
      </w:r>
      <w:proofErr w:type="spellStart"/>
      <w:r>
        <w:rPr>
          <w:rFonts w:ascii="Times New Roman" w:hAnsi="Times New Roman" w:cs="Times New Roman"/>
          <w:sz w:val="24"/>
          <w:szCs w:val="24"/>
          <w:lang w:val="en-GB"/>
        </w:rPr>
        <w:t>Y</w:t>
      </w:r>
      <w:r>
        <w:rPr>
          <w:rFonts w:ascii="Times New Roman" w:hAnsi="Times New Roman" w:cs="Times New Roman"/>
          <w:sz w:val="24"/>
          <w:szCs w:val="24"/>
          <w:vertAlign w:val="subscript"/>
          <w:lang w:val="en-GB"/>
        </w:rPr>
        <w:t>solid</w:t>
      </w:r>
      <w:proofErr w:type="spellEnd"/>
      <w:r>
        <w:rPr>
          <w:rFonts w:ascii="Times New Roman" w:hAnsi="Times New Roman" w:cs="Times New Roman"/>
          <w:sz w:val="24"/>
          <w:szCs w:val="24"/>
          <w:lang w:val="en-GB"/>
        </w:rPr>
        <w:t xml:space="preserve"> and </w:t>
      </w:r>
      <w:proofErr w:type="spellStart"/>
      <w:r>
        <w:rPr>
          <w:rFonts w:ascii="Times New Roman" w:hAnsi="Times New Roman" w:cs="Times New Roman"/>
          <w:sz w:val="24"/>
          <w:szCs w:val="24"/>
          <w:lang w:val="en-GB"/>
        </w:rPr>
        <w:t>Y</w:t>
      </w:r>
      <w:r>
        <w:rPr>
          <w:rFonts w:ascii="Times New Roman" w:hAnsi="Times New Roman" w:cs="Times New Roman"/>
          <w:sz w:val="24"/>
          <w:szCs w:val="24"/>
          <w:vertAlign w:val="subscript"/>
          <w:lang w:val="en-GB"/>
        </w:rPr>
        <w:t>energy</w:t>
      </w:r>
      <w:proofErr w:type="spellEnd"/>
      <w:r>
        <w:rPr>
          <w:rFonts w:ascii="Times New Roman" w:hAnsi="Times New Roman" w:cs="Times New Roman"/>
          <w:sz w:val="24"/>
          <w:szCs w:val="24"/>
          <w:lang w:val="en-GB"/>
        </w:rPr>
        <w:t xml:space="preserve"> refer to the solid yield and energy yield, respectively. </w:t>
      </w:r>
      <w:proofErr w:type="spellStart"/>
      <w:r>
        <w:rPr>
          <w:rFonts w:ascii="Times New Roman" w:hAnsi="Times New Roman" w:cs="Times New Roman"/>
          <w:sz w:val="24"/>
          <w:szCs w:val="24"/>
          <w:lang w:val="en-GB"/>
        </w:rPr>
        <w:t>m</w:t>
      </w:r>
      <w:r>
        <w:rPr>
          <w:rFonts w:ascii="Times New Roman" w:hAnsi="Times New Roman" w:cs="Times New Roman"/>
          <w:sz w:val="24"/>
          <w:szCs w:val="24"/>
          <w:vertAlign w:val="subscript"/>
          <w:lang w:val="en-GB"/>
        </w:rPr>
        <w:t>feedstock</w:t>
      </w:r>
      <w:proofErr w:type="spellEnd"/>
      <w:r>
        <w:rPr>
          <w:rFonts w:ascii="Times New Roman" w:hAnsi="Times New Roman" w:cs="Times New Roman"/>
          <w:sz w:val="24"/>
          <w:szCs w:val="24"/>
          <w:lang w:val="en-GB"/>
        </w:rPr>
        <w:t xml:space="preserve"> and </w:t>
      </w:r>
      <w:proofErr w:type="spellStart"/>
      <w:r>
        <w:rPr>
          <w:rFonts w:ascii="Times New Roman" w:hAnsi="Times New Roman" w:cs="Times New Roman"/>
          <w:sz w:val="24"/>
          <w:szCs w:val="24"/>
          <w:lang w:val="en-GB"/>
        </w:rPr>
        <w:t>m</w:t>
      </w:r>
      <w:r>
        <w:rPr>
          <w:rFonts w:ascii="Times New Roman" w:hAnsi="Times New Roman" w:cs="Times New Roman"/>
          <w:sz w:val="24"/>
          <w:szCs w:val="24"/>
          <w:vertAlign w:val="subscript"/>
          <w:lang w:val="en-GB"/>
        </w:rPr>
        <w:t>product</w:t>
      </w:r>
      <w:proofErr w:type="spellEnd"/>
      <w:r>
        <w:rPr>
          <w:rFonts w:ascii="Times New Roman" w:hAnsi="Times New Roman" w:cs="Times New Roman"/>
          <w:sz w:val="24"/>
          <w:szCs w:val="24"/>
          <w:lang w:val="en-GB"/>
        </w:rPr>
        <w:t xml:space="preserve"> indicate the mass of the initial samples and solid product after torrefaction, respectively. </w:t>
      </w:r>
      <w:proofErr w:type="spellStart"/>
      <w:r>
        <w:rPr>
          <w:rFonts w:ascii="Times New Roman" w:hAnsi="Times New Roman" w:cs="Times New Roman"/>
          <w:sz w:val="24"/>
          <w:szCs w:val="24"/>
          <w:lang w:val="en-GB"/>
        </w:rPr>
        <w:t>HHV</w:t>
      </w:r>
      <w:r>
        <w:rPr>
          <w:rFonts w:ascii="Times New Roman" w:hAnsi="Times New Roman" w:cs="Times New Roman"/>
          <w:sz w:val="24"/>
          <w:szCs w:val="24"/>
          <w:vertAlign w:val="subscript"/>
          <w:lang w:val="en-GB"/>
        </w:rPr>
        <w:t>feedstock</w:t>
      </w:r>
      <w:proofErr w:type="spellEnd"/>
      <w:r>
        <w:rPr>
          <w:rFonts w:ascii="Times New Roman" w:hAnsi="Times New Roman" w:cs="Times New Roman"/>
          <w:sz w:val="24"/>
          <w:szCs w:val="24"/>
          <w:lang w:val="en-GB"/>
        </w:rPr>
        <w:t xml:space="preserve"> and </w:t>
      </w:r>
      <w:proofErr w:type="spellStart"/>
      <w:r>
        <w:rPr>
          <w:rFonts w:ascii="Times New Roman" w:hAnsi="Times New Roman" w:cs="Times New Roman"/>
          <w:sz w:val="24"/>
          <w:szCs w:val="24"/>
          <w:lang w:val="en-GB"/>
        </w:rPr>
        <w:t>HHV</w:t>
      </w:r>
      <w:r>
        <w:rPr>
          <w:rFonts w:ascii="Times New Roman" w:hAnsi="Times New Roman" w:cs="Times New Roman"/>
          <w:sz w:val="24"/>
          <w:szCs w:val="24"/>
          <w:vertAlign w:val="subscript"/>
          <w:lang w:val="en-GB"/>
        </w:rPr>
        <w:t>product</w:t>
      </w:r>
      <w:proofErr w:type="spellEnd"/>
      <w:r>
        <w:rPr>
          <w:rFonts w:ascii="Times New Roman" w:hAnsi="Times New Roman" w:cs="Times New Roman"/>
          <w:sz w:val="24"/>
          <w:szCs w:val="24"/>
          <w:lang w:val="en-GB"/>
        </w:rPr>
        <w:t xml:space="preserve"> represent the higher heating value (in kJ/kg) of the original samples and solid product after torrefaction, respectively </w:t>
      </w:r>
      <w:r>
        <w:rPr>
          <w:rFonts w:ascii="Times New Roman" w:hAnsi="Times New Roman" w:cs="Times New Roman"/>
          <w:sz w:val="24"/>
          <w:szCs w:val="24"/>
          <w:lang w:val="en-GB"/>
        </w:rPr>
        <w:fldChar w:fldCharType="begin" w:fldLock="1"/>
      </w:r>
      <w:r>
        <w:rPr>
          <w:rFonts w:ascii="Times New Roman" w:hAnsi="Times New Roman" w:cs="Times New Roman"/>
          <w:sz w:val="24"/>
          <w:szCs w:val="24"/>
          <w:lang w:val="en-GB"/>
        </w:rPr>
        <w:instrText>ADDIN CSL_CITATION {"citationItems":[{"id":"ITEM-1","itemData":{"DOI":"10.1016/j.enconman.2018.05.063","ISSN":"01968904","abstract":"In this work, torrefaction of hemicellulose, cellulose, and lignin were studied at a series of torrefaction temperatures (210, 240, 270, and 300 °C) based on the properties of their three-phase products, namely solid, liquid (water and tar), and gaseous products. Among the three biomass components, significant difference of torrefaction characteristics was found due to their different molecular structures. For the solid product, hemicellulose presented lowest yield from 85.65% to 41.54% as the temperature increased because of the poor thermostability, thereby showing obvious variations in carbon and oxygen contents. For the gaseous product, CO2, followed by CO, were the dominant gaseous components in all torrefaction conditions including different feedstock and temperatures; also a small number of other components (H2 and CH4) were produced during torrefaction of lignin. The liquid product was composed of water and a small amount of tar. For the tar product, acids and ketones were the dominant components in the torrefaction of hemicellulose, while anhydrosugar in the torrefaction of cellulose, and phenols in the torrefaction of lignin. As the temperature increased from 210 °C to 300 °C, about 19.76–71.11%, 5.85–33.27%, and 16.28–44.89% of oxygen from hemicellulose, cellulose, and lignin, respectively, was transformed into the liquid and gaseous products. Dehydration reaction and volatilization of the oxygenated gaseous product were the two dominant deoxygenation pathways, and the water, CO2, and CO were the dominant carriers of oxygen migration. In contrast to oxygen, only a small amount of carbon was transferred into tar product, followed by gaseous product, consequently the solid samples still retained most of the energy.","author":[{"dropping-particle":"","family":"Chen","given":"Dengyu","non-dropping-particle":"","parse-names":false,"suffix":""},{"dropping-particle":"","family":"Gao","given":"Anjiang","non-dropping-particle":"","parse-names":false,"suffix":""},{"dropping-particle":"","family":"Cen","given":"Kehui","non-dropping-particle":"","parse-names":false,"suffix":""},{"dropping-particle":"","family":"Zhang","given":"Jie","non-dropping-particle":"","parse-names":false,"suffix":""},{"dropping-particle":"","family":"Cao","given":"Xiaobing","non-dropping-particle":"","parse-names":false,"suffix":""},{"dropping-particle":"","family":"Ma","given":"Zhongqing","non-dropping-particle":"","parse-names":false,"suffix":""}],"container-title":"Energy Conversion and Management","id":"ITEM-1","issue":"February","issued":{"date-parts":[["2018"]]},"page":"228-237","publisher":"Elsevier","title":"Investigation of biomass torrefaction based on three major components: Hemicellulose, cellulose, and lignin","type":"article-journal","volume":"169"},"uris":["http://www.mendeley.com/documents/?uuid=f6f14aaa-0b14-44be-a2bf-1425a9be3178"]}],"mendeley":{"formattedCitation":"[9]","plainTextFormattedCitation":"[9]","previouslyFormattedCitation":"[9]"},"properties":{"noteIndex":0},"schema":"https://github.com/citation-style-language/schema/raw/master/csl-citation.json"}</w:instrText>
      </w:r>
      <w:r>
        <w:rPr>
          <w:rFonts w:ascii="Times New Roman" w:hAnsi="Times New Roman" w:cs="Times New Roman"/>
          <w:sz w:val="24"/>
          <w:szCs w:val="24"/>
          <w:lang w:val="en-GB"/>
        </w:rPr>
        <w:fldChar w:fldCharType="separate"/>
      </w:r>
      <w:r>
        <w:rPr>
          <w:rFonts w:ascii="Times New Roman" w:hAnsi="Times New Roman" w:cs="Times New Roman"/>
          <w:noProof/>
          <w:sz w:val="24"/>
          <w:szCs w:val="24"/>
          <w:lang w:val="en-GB"/>
        </w:rPr>
        <w:t>[9]</w:t>
      </w:r>
      <w:r>
        <w:rPr>
          <w:rFonts w:ascii="Times New Roman" w:hAnsi="Times New Roman" w:cs="Times New Roman"/>
          <w:sz w:val="24"/>
          <w:szCs w:val="24"/>
          <w:lang w:val="en-GB"/>
        </w:rPr>
        <w:fldChar w:fldCharType="end"/>
      </w:r>
      <w:r>
        <w:rPr>
          <w:rFonts w:ascii="Times New Roman" w:hAnsi="Times New Roman" w:cs="Times New Roman"/>
          <w:sz w:val="24"/>
          <w:szCs w:val="24"/>
          <w:lang w:val="en-GB"/>
        </w:rPr>
        <w:t xml:space="preserve">. </w:t>
      </w:r>
    </w:p>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Enhancement factor was defined as follows </w:t>
      </w:r>
      <w:r>
        <w:rPr>
          <w:rFonts w:ascii="Times New Roman" w:hAnsi="Times New Roman" w:cs="Times New Roman"/>
          <w:sz w:val="24"/>
          <w:szCs w:val="24"/>
          <w:lang w:val="en-GB"/>
        </w:rPr>
        <w:fldChar w:fldCharType="begin" w:fldLock="1"/>
      </w:r>
      <w:r>
        <w:rPr>
          <w:rFonts w:ascii="Times New Roman" w:hAnsi="Times New Roman" w:cs="Times New Roman"/>
          <w:sz w:val="24"/>
          <w:szCs w:val="24"/>
          <w:lang w:val="en-GB"/>
        </w:rPr>
        <w:instrText>ADDIN CSL_CITATION {"citationItems":[{"id":"ITEM-1","itemData":{"DOI":"10.1016/j.apenergy.2018.03.129","ISSN":"03062619","abstract":"Weight loss has been suggested as an important indicator of torrefaction severity for describing the performance of this thermal pretreatment process. The present study establishes a correlation of torrefaction performance, severity, and energy usage for the applications of this pretreatment for solid fuel (biochar) production. Three different biomass wastes, namely, spent coffee grounds, Chinese medicine residue, and microalga residue, have been torrefied in nitrogen at a temperature range of 200–300 °C for 15–60 min to produce biochars. Their properties such as the enhancement factor of higher heating value, energy yield, decarbonization, dehydrogenation, deoxygenation, and atomic O/C and H/C ratios have been investigated. The obtained results indicate that the introduced dimensionless parameter (the torrefaction severity index in terms of the weight loss of biomass) correlates sufficiently with the biochar properties; the exception is the O/C ratio as a consequence of the intrinsic difference in components between the utilized wastes. A new parameter (the upgrading energy index) was also defined to account for the energy efficiency of the torrefaction system. This index follows a decreasing trend with increasing torrefaction severity index. This shows that biochar quality or heating value is intensified at a higher torrefaction severity; however, the energy efficiency is lowered.","author":[{"dropping-particle":"","family":"Zhang","given":"Congyu","non-dropping-particle":"","parse-names":false,"suffix":""},{"dropping-particle":"","family":"Ho","given":"Shih Hsin","non-dropping-particle":"","parse-names":false,"suffix":""},{"dropping-particle":"","family":"Chen","given":"Wei Hsin","non-dropping-particle":"","parse-names":false,"suffix":""},{"dropping-particle":"","family":"Xie","given":"Youping","non-dropping-particle":"","parse-names":false,"suffix":""},{"dropping-particle":"","family":"Liu","given":"Zhenquan","non-dropping-particle":"","parse-names":false,"suffix":""},{"dropping-particle":"","family":"Chang","given":"Jo Shu","non-dropping-particle":"","parse-names":false,"suffix":""}],"container-title":"Applied Energy","id":"ITEM-1","issued":{"date-parts":[["2018"]]},"page":"598-604","publisher":"Elsevier","title":"Torrefaction performance and energy usage of biomass wastes and their correlations with torrefaction severity index","type":"article-journal","volume":"220"},"uris":["http://www.mendeley.com/documents/?uuid=f5bd5791-677d-44c1-973a-d04534eed368"]}],"mendeley":{"formattedCitation":"[10]","plainTextFormattedCitation":"[10]","previouslyFormattedCitation":"[10]"},"properties":{"noteIndex":0},"schema":"https://github.com/citation-style-language/schema/raw/master/csl-citation.json"}</w:instrText>
      </w:r>
      <w:r>
        <w:rPr>
          <w:rFonts w:ascii="Times New Roman" w:hAnsi="Times New Roman" w:cs="Times New Roman"/>
          <w:sz w:val="24"/>
          <w:szCs w:val="24"/>
          <w:lang w:val="en-GB"/>
        </w:rPr>
        <w:fldChar w:fldCharType="separate"/>
      </w:r>
      <w:r>
        <w:rPr>
          <w:rFonts w:ascii="Times New Roman" w:hAnsi="Times New Roman" w:cs="Times New Roman"/>
          <w:noProof/>
          <w:sz w:val="24"/>
          <w:szCs w:val="24"/>
          <w:lang w:val="en-GB"/>
        </w:rPr>
        <w:t>[10]</w:t>
      </w:r>
      <w:r>
        <w:rPr>
          <w:rFonts w:ascii="Times New Roman" w:hAnsi="Times New Roman" w:cs="Times New Roman"/>
          <w:sz w:val="24"/>
          <w:szCs w:val="24"/>
          <w:lang w:val="en-GB"/>
        </w:rPr>
        <w:fldChar w:fldCharType="end"/>
      </w:r>
      <w:r>
        <w:rPr>
          <w:rFonts w:ascii="Times New Roman" w:hAnsi="Times New Roman" w:cs="Times New Roman"/>
          <w:sz w:val="24"/>
          <w:szCs w:val="24"/>
          <w:lang w:val="en-GB"/>
        </w:rPr>
        <w:t>:</w:t>
      </w:r>
    </w:p>
    <w:p>
      <w:pPr>
        <w:tabs>
          <w:tab w:val="right" w:pos="9026"/>
        </w:tabs>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Enhancement factor = </w:t>
      </w:r>
      <w:proofErr w:type="spellStart"/>
      <w:r>
        <w:rPr>
          <w:rFonts w:ascii="Times New Roman" w:hAnsi="Times New Roman" w:cs="Times New Roman"/>
          <w:sz w:val="24"/>
          <w:szCs w:val="24"/>
          <w:lang w:val="en-GB"/>
        </w:rPr>
        <w:t>HHV</w:t>
      </w:r>
      <w:r>
        <w:rPr>
          <w:rFonts w:ascii="Times New Roman" w:hAnsi="Times New Roman" w:cs="Times New Roman"/>
          <w:sz w:val="24"/>
          <w:szCs w:val="24"/>
          <w:vertAlign w:val="subscript"/>
          <w:lang w:val="en-GB"/>
        </w:rPr>
        <w:t>product</w:t>
      </w:r>
      <w:proofErr w:type="spellEnd"/>
      <w:r>
        <w:rPr>
          <w:rFonts w:ascii="Times New Roman" w:hAnsi="Times New Roman" w:cs="Times New Roman"/>
          <w:sz w:val="24"/>
          <w:szCs w:val="24"/>
          <w:lang w:val="en-GB"/>
        </w:rPr>
        <w:t>/</w:t>
      </w:r>
      <w:proofErr w:type="spellStart"/>
      <w:r>
        <w:rPr>
          <w:rFonts w:ascii="Times New Roman" w:hAnsi="Times New Roman" w:cs="Times New Roman"/>
          <w:sz w:val="24"/>
          <w:szCs w:val="24"/>
          <w:lang w:val="en-GB"/>
        </w:rPr>
        <w:t>HHV</w:t>
      </w:r>
      <w:r>
        <w:rPr>
          <w:rFonts w:ascii="Times New Roman" w:hAnsi="Times New Roman" w:cs="Times New Roman"/>
          <w:sz w:val="24"/>
          <w:szCs w:val="24"/>
          <w:vertAlign w:val="subscript"/>
          <w:lang w:val="en-GB"/>
        </w:rPr>
        <w:t>feedstock</w:t>
      </w:r>
      <w:proofErr w:type="spellEnd"/>
      <w:r>
        <w:rPr>
          <w:rFonts w:ascii="Times New Roman" w:hAnsi="Times New Roman" w:cs="Times New Roman"/>
          <w:sz w:val="24"/>
          <w:szCs w:val="24"/>
          <w:vertAlign w:val="subscript"/>
          <w:lang w:val="en-GB"/>
        </w:rPr>
        <w:tab/>
      </w:r>
      <w:r>
        <w:rPr>
          <w:rFonts w:ascii="Times New Roman" w:hAnsi="Times New Roman" w:cs="Times New Roman"/>
          <w:sz w:val="24"/>
          <w:szCs w:val="24"/>
          <w:lang w:val="en-GB"/>
        </w:rPr>
        <w:t>(8)</w:t>
      </w:r>
    </w:p>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Carbon yield (Y</w:t>
      </w:r>
      <w:r>
        <w:rPr>
          <w:rFonts w:ascii="Times New Roman" w:hAnsi="Times New Roman" w:cs="Times New Roman"/>
          <w:sz w:val="24"/>
          <w:szCs w:val="24"/>
          <w:vertAlign w:val="subscript"/>
          <w:lang w:val="en-GB"/>
        </w:rPr>
        <w:t>C</w:t>
      </w:r>
      <w:r>
        <w:rPr>
          <w:rFonts w:ascii="Times New Roman" w:hAnsi="Times New Roman" w:cs="Times New Roman"/>
          <w:sz w:val="24"/>
          <w:szCs w:val="24"/>
          <w:lang w:val="en-GB"/>
        </w:rPr>
        <w:t>) and hydrogen yield (Y</w:t>
      </w:r>
      <w:r>
        <w:rPr>
          <w:rFonts w:ascii="Times New Roman" w:hAnsi="Times New Roman" w:cs="Times New Roman"/>
          <w:sz w:val="24"/>
          <w:szCs w:val="24"/>
          <w:vertAlign w:val="subscript"/>
          <w:lang w:val="en-GB"/>
        </w:rPr>
        <w:t>H</w:t>
      </w:r>
      <w:r>
        <w:rPr>
          <w:rFonts w:ascii="Times New Roman" w:hAnsi="Times New Roman" w:cs="Times New Roman"/>
          <w:sz w:val="24"/>
          <w:szCs w:val="24"/>
          <w:lang w:val="en-GB"/>
        </w:rPr>
        <w:t xml:space="preserve">) were calculated as follow </w:t>
      </w:r>
      <w:r>
        <w:rPr>
          <w:rFonts w:ascii="Times New Roman" w:hAnsi="Times New Roman" w:cs="Times New Roman"/>
          <w:sz w:val="24"/>
          <w:szCs w:val="24"/>
          <w:lang w:val="en-GB"/>
        </w:rPr>
        <w:fldChar w:fldCharType="begin" w:fldLock="1"/>
      </w:r>
      <w:r>
        <w:rPr>
          <w:rFonts w:ascii="Times New Roman" w:hAnsi="Times New Roman" w:cs="Times New Roman"/>
          <w:sz w:val="24"/>
          <w:szCs w:val="24"/>
          <w:lang w:val="en-GB"/>
        </w:rPr>
        <w:instrText>ADDIN CSL_CITATION {"citationItems":[{"id":"ITEM-1","itemData":{"DOI":"10.1016/j.biortech.2018.02.114","ISSN":"18732976","PMID":"29524691","abstract":"Wet torrefaction (WT) possesses some advantages over dry torrefaction (DT). In this study, a comparative analysis of torrefied corn stalk from WT and DT was conducted along with an investigation of their pyrolysis properties under optimal conditions for biomass pyrolysis polygeneration. Compared with DT, WT removed 98% of the ash and retained twice the amount of hydrogen. The impacts of DT and WT on the biomass macromolecular structure was also found to be different using two-dimensional perturbation correlation infrared spectroscopy (2D-PCIS). WT preserved the active hydroxyl groups and rearranged the macromolecule structure to allow cellulose to be more ordered, while DT removed these active hydroxyl groups and formed inter-crosslinking structures in macromolecules. Correspondingly, the bio-char yield after WT was lower than DT but the bio-char quality was upgraded due to high ash removal. Furthermore, higher bio-oil yield, higher sugar content, and higher H2 generation, were obtained after WT.","author":[{"dropping-particle":"","family":"Wang","given":"Xianhua","non-dropping-particle":"","parse-names":false,"suffix":""},{"dropping-particle":"","family":"Wu","given":"Jing","non-dropping-particle":"","parse-names":false,"suffix":""},{"dropping-particle":"","family":"Chen","given":"Yingquan","non-dropping-particle":"","parse-names":false,"suffix":""},{"dropping-particle":"","family":"Pattiya","given":"Adisak","non-dropping-particle":"","parse-names":false,"suffix":""},{"dropping-particle":"","family":"Yang","given":"Haiping","non-dropping-particle":"","parse-names":false,"suffix":""},{"dropping-particle":"","family":"Chen","given":"Hanping","non-dropping-particle":"","parse-names":false,"suffix":""}],"container-title":"Bioresource Technology","id":"ITEM-1","issued":{"date-parts":[["2018"]]},"page":"88-97","publisher":"Elsevier","title":"Comparative study of wet and dry torrefaction of corn stalk and the effect on biomass pyrolysis polygeneration","type":"article-journal","volume":"258"},"uris":["http://www.mendeley.com/documents/?uuid=783fe98d-18f8-481c-b3ad-c05117d091fc"]}],"mendeley":{"formattedCitation":"[11]","plainTextFormattedCitation":"[11]","previouslyFormattedCitation":"[11]"},"properties":{"noteIndex":0},"schema":"https://github.com/citation-style-language/schema/raw/master/csl-citation.json"}</w:instrText>
      </w:r>
      <w:r>
        <w:rPr>
          <w:rFonts w:ascii="Times New Roman" w:hAnsi="Times New Roman" w:cs="Times New Roman"/>
          <w:sz w:val="24"/>
          <w:szCs w:val="24"/>
          <w:lang w:val="en-GB"/>
        </w:rPr>
        <w:fldChar w:fldCharType="separate"/>
      </w:r>
      <w:r>
        <w:rPr>
          <w:rFonts w:ascii="Times New Roman" w:hAnsi="Times New Roman" w:cs="Times New Roman"/>
          <w:noProof/>
          <w:sz w:val="24"/>
          <w:szCs w:val="24"/>
          <w:lang w:val="en-GB"/>
        </w:rPr>
        <w:t>[11]</w:t>
      </w:r>
      <w:r>
        <w:rPr>
          <w:rFonts w:ascii="Times New Roman" w:hAnsi="Times New Roman" w:cs="Times New Roman"/>
          <w:sz w:val="24"/>
          <w:szCs w:val="24"/>
          <w:lang w:val="en-GB"/>
        </w:rPr>
        <w:fldChar w:fldCharType="end"/>
      </w:r>
      <w:r>
        <w:rPr>
          <w:rFonts w:ascii="Times New Roman" w:hAnsi="Times New Roman" w:cs="Times New Roman"/>
          <w:sz w:val="24"/>
          <w:szCs w:val="24"/>
          <w:lang w:val="en-GB"/>
        </w:rPr>
        <w:t>:</w:t>
      </w:r>
    </w:p>
    <w:p>
      <w:pPr>
        <w:tabs>
          <w:tab w:val="right" w:pos="9026"/>
        </w:tabs>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Y</w:t>
      </w:r>
      <w:r>
        <w:rPr>
          <w:rFonts w:ascii="Times New Roman" w:hAnsi="Times New Roman" w:cs="Times New Roman"/>
          <w:sz w:val="24"/>
          <w:szCs w:val="24"/>
          <w:vertAlign w:val="subscript"/>
          <w:lang w:val="en-GB"/>
        </w:rPr>
        <w:t>C</w:t>
      </w:r>
      <w:r>
        <w:rPr>
          <w:rFonts w:ascii="Times New Roman" w:hAnsi="Times New Roman" w:cs="Times New Roman"/>
          <w:sz w:val="24"/>
          <w:szCs w:val="24"/>
          <w:lang w:val="en-GB"/>
        </w:rPr>
        <w:t xml:space="preserve"> (%) = </w:t>
      </w:r>
      <w:proofErr w:type="spellStart"/>
      <w:r>
        <w:rPr>
          <w:rFonts w:ascii="Times New Roman" w:hAnsi="Times New Roman" w:cs="Times New Roman"/>
          <w:sz w:val="24"/>
          <w:szCs w:val="24"/>
          <w:lang w:val="en-GB"/>
        </w:rPr>
        <w:t>Y</w:t>
      </w:r>
      <w:r>
        <w:rPr>
          <w:rFonts w:ascii="Times New Roman" w:hAnsi="Times New Roman" w:cs="Times New Roman"/>
          <w:sz w:val="24"/>
          <w:szCs w:val="24"/>
          <w:vertAlign w:val="subscript"/>
          <w:lang w:val="en-GB"/>
        </w:rPr>
        <w:t>solid</w:t>
      </w:r>
      <w:proofErr w:type="spellEnd"/>
      <w:r>
        <w:rPr>
          <w:rFonts w:ascii="Times New Roman" w:hAnsi="Times New Roman" w:cs="Times New Roman"/>
          <w:sz w:val="24"/>
          <w:szCs w:val="24"/>
          <w:lang w:val="en-GB"/>
        </w:rPr>
        <w:t xml:space="preserve"> (%) × (</w:t>
      </w:r>
      <w:proofErr w:type="spellStart"/>
      <w:r>
        <w:rPr>
          <w:rFonts w:ascii="Times New Roman" w:hAnsi="Times New Roman" w:cs="Times New Roman"/>
          <w:sz w:val="24"/>
          <w:szCs w:val="24"/>
          <w:lang w:val="en-GB"/>
        </w:rPr>
        <w:t>C</w:t>
      </w:r>
      <w:r>
        <w:rPr>
          <w:rFonts w:ascii="Times New Roman" w:hAnsi="Times New Roman" w:cs="Times New Roman"/>
          <w:sz w:val="24"/>
          <w:szCs w:val="24"/>
          <w:vertAlign w:val="subscript"/>
          <w:lang w:val="en-GB"/>
        </w:rPr>
        <w:t>product</w:t>
      </w:r>
      <w:proofErr w:type="spellEnd"/>
      <w:r>
        <w:rPr>
          <w:rFonts w:ascii="Times New Roman" w:hAnsi="Times New Roman" w:cs="Times New Roman"/>
          <w:sz w:val="24"/>
          <w:szCs w:val="24"/>
          <w:lang w:val="en-GB"/>
        </w:rPr>
        <w:t>/</w:t>
      </w:r>
      <w:proofErr w:type="spellStart"/>
      <w:r>
        <w:rPr>
          <w:rFonts w:ascii="Times New Roman" w:hAnsi="Times New Roman" w:cs="Times New Roman"/>
          <w:sz w:val="24"/>
          <w:szCs w:val="24"/>
          <w:lang w:val="en-GB"/>
        </w:rPr>
        <w:t>C</w:t>
      </w:r>
      <w:r>
        <w:rPr>
          <w:rFonts w:ascii="Times New Roman" w:hAnsi="Times New Roman" w:cs="Times New Roman"/>
          <w:sz w:val="24"/>
          <w:szCs w:val="24"/>
          <w:vertAlign w:val="subscript"/>
          <w:lang w:val="en-GB"/>
        </w:rPr>
        <w:t>feedstock</w:t>
      </w:r>
      <w:proofErr w:type="spellEnd"/>
      <w:r>
        <w:rPr>
          <w:rFonts w:ascii="Times New Roman" w:hAnsi="Times New Roman" w:cs="Times New Roman"/>
          <w:sz w:val="24"/>
          <w:szCs w:val="24"/>
          <w:lang w:val="en-GB"/>
        </w:rPr>
        <w:t>)</w:t>
      </w:r>
      <w:r>
        <w:rPr>
          <w:rFonts w:ascii="Times New Roman" w:hAnsi="Times New Roman" w:cs="Times New Roman"/>
          <w:sz w:val="24"/>
          <w:szCs w:val="24"/>
          <w:lang w:val="en-GB"/>
        </w:rPr>
        <w:tab/>
        <w:t>(9)</w:t>
      </w:r>
    </w:p>
    <w:p>
      <w:pPr>
        <w:tabs>
          <w:tab w:val="right" w:pos="9026"/>
        </w:tabs>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Y</w:t>
      </w:r>
      <w:r>
        <w:rPr>
          <w:rFonts w:ascii="Times New Roman" w:hAnsi="Times New Roman" w:cs="Times New Roman"/>
          <w:sz w:val="24"/>
          <w:szCs w:val="24"/>
          <w:vertAlign w:val="subscript"/>
          <w:lang w:val="en-GB"/>
        </w:rPr>
        <w:t>H</w:t>
      </w:r>
      <w:r>
        <w:rPr>
          <w:rFonts w:ascii="Times New Roman" w:hAnsi="Times New Roman" w:cs="Times New Roman"/>
          <w:sz w:val="24"/>
          <w:szCs w:val="24"/>
          <w:lang w:val="en-GB"/>
        </w:rPr>
        <w:t xml:space="preserve"> (%) = </w:t>
      </w:r>
      <w:proofErr w:type="spellStart"/>
      <w:r>
        <w:rPr>
          <w:rFonts w:ascii="Times New Roman" w:hAnsi="Times New Roman" w:cs="Times New Roman"/>
          <w:sz w:val="24"/>
          <w:szCs w:val="24"/>
          <w:lang w:val="en-GB"/>
        </w:rPr>
        <w:t>Y</w:t>
      </w:r>
      <w:r>
        <w:rPr>
          <w:rFonts w:ascii="Times New Roman" w:hAnsi="Times New Roman" w:cs="Times New Roman"/>
          <w:sz w:val="24"/>
          <w:szCs w:val="24"/>
          <w:vertAlign w:val="subscript"/>
          <w:lang w:val="en-GB"/>
        </w:rPr>
        <w:t>solid</w:t>
      </w:r>
      <w:proofErr w:type="spellEnd"/>
      <w:r>
        <w:rPr>
          <w:rFonts w:ascii="Times New Roman" w:hAnsi="Times New Roman" w:cs="Times New Roman"/>
          <w:sz w:val="24"/>
          <w:szCs w:val="24"/>
          <w:lang w:val="en-GB"/>
        </w:rPr>
        <w:t xml:space="preserve"> (%) × (</w:t>
      </w:r>
      <w:proofErr w:type="spellStart"/>
      <w:r>
        <w:rPr>
          <w:rFonts w:ascii="Times New Roman" w:hAnsi="Times New Roman" w:cs="Times New Roman"/>
          <w:sz w:val="24"/>
          <w:szCs w:val="24"/>
          <w:lang w:val="en-GB"/>
        </w:rPr>
        <w:t>H</w:t>
      </w:r>
      <w:r>
        <w:rPr>
          <w:rFonts w:ascii="Times New Roman" w:hAnsi="Times New Roman" w:cs="Times New Roman"/>
          <w:sz w:val="24"/>
          <w:szCs w:val="24"/>
          <w:vertAlign w:val="subscript"/>
          <w:lang w:val="en-GB"/>
        </w:rPr>
        <w:t>product</w:t>
      </w:r>
      <w:proofErr w:type="spellEnd"/>
      <w:r>
        <w:rPr>
          <w:rFonts w:ascii="Times New Roman" w:hAnsi="Times New Roman" w:cs="Times New Roman"/>
          <w:sz w:val="24"/>
          <w:szCs w:val="24"/>
          <w:lang w:val="en-GB"/>
        </w:rPr>
        <w:t>/</w:t>
      </w:r>
      <w:proofErr w:type="spellStart"/>
      <w:r>
        <w:rPr>
          <w:rFonts w:ascii="Times New Roman" w:hAnsi="Times New Roman" w:cs="Times New Roman"/>
          <w:sz w:val="24"/>
          <w:szCs w:val="24"/>
          <w:lang w:val="en-GB"/>
        </w:rPr>
        <w:t>H</w:t>
      </w:r>
      <w:r>
        <w:rPr>
          <w:rFonts w:ascii="Times New Roman" w:hAnsi="Times New Roman" w:cs="Times New Roman"/>
          <w:sz w:val="24"/>
          <w:szCs w:val="24"/>
          <w:vertAlign w:val="subscript"/>
          <w:lang w:val="en-GB"/>
        </w:rPr>
        <w:t>feedstock</w:t>
      </w:r>
      <w:proofErr w:type="spellEnd"/>
      <w:r>
        <w:rPr>
          <w:rFonts w:ascii="Times New Roman" w:hAnsi="Times New Roman" w:cs="Times New Roman"/>
          <w:sz w:val="24"/>
          <w:szCs w:val="24"/>
          <w:lang w:val="en-GB"/>
        </w:rPr>
        <w:t>)</w:t>
      </w:r>
      <w:r>
        <w:rPr>
          <w:rFonts w:ascii="Times New Roman" w:hAnsi="Times New Roman" w:cs="Times New Roman"/>
          <w:sz w:val="24"/>
          <w:szCs w:val="24"/>
          <w:lang w:val="en-GB"/>
        </w:rPr>
        <w:tab/>
        <w:t>(10)</w:t>
      </w:r>
    </w:p>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lastRenderedPageBreak/>
        <w:t xml:space="preserve">where </w:t>
      </w:r>
      <w:proofErr w:type="spellStart"/>
      <w:r>
        <w:rPr>
          <w:rFonts w:ascii="Times New Roman" w:hAnsi="Times New Roman" w:cs="Times New Roman"/>
          <w:sz w:val="24"/>
          <w:szCs w:val="24"/>
          <w:lang w:val="en-GB"/>
        </w:rPr>
        <w:t>C</w:t>
      </w:r>
      <w:r>
        <w:rPr>
          <w:rFonts w:ascii="Times New Roman" w:hAnsi="Times New Roman" w:cs="Times New Roman"/>
          <w:sz w:val="24"/>
          <w:szCs w:val="24"/>
          <w:vertAlign w:val="subscript"/>
          <w:lang w:val="en-GB"/>
        </w:rPr>
        <w:t>product</w:t>
      </w:r>
      <w:proofErr w:type="spellEnd"/>
      <w:r>
        <w:rPr>
          <w:rFonts w:ascii="Times New Roman" w:hAnsi="Times New Roman" w:cs="Times New Roman"/>
          <w:sz w:val="24"/>
          <w:szCs w:val="24"/>
          <w:lang w:val="en-GB"/>
        </w:rPr>
        <w:t xml:space="preserve">, </w:t>
      </w:r>
      <w:proofErr w:type="spellStart"/>
      <w:r>
        <w:rPr>
          <w:rFonts w:ascii="Times New Roman" w:hAnsi="Times New Roman" w:cs="Times New Roman"/>
          <w:sz w:val="24"/>
          <w:szCs w:val="24"/>
          <w:lang w:val="en-GB"/>
        </w:rPr>
        <w:t>H</w:t>
      </w:r>
      <w:r>
        <w:rPr>
          <w:rFonts w:ascii="Times New Roman" w:hAnsi="Times New Roman" w:cs="Times New Roman"/>
          <w:sz w:val="24"/>
          <w:szCs w:val="24"/>
          <w:vertAlign w:val="subscript"/>
          <w:lang w:val="en-GB"/>
        </w:rPr>
        <w:t>product</w:t>
      </w:r>
      <w:proofErr w:type="spellEnd"/>
      <w:r>
        <w:rPr>
          <w:rFonts w:ascii="Times New Roman" w:hAnsi="Times New Roman" w:cs="Times New Roman"/>
          <w:sz w:val="24"/>
          <w:szCs w:val="24"/>
          <w:lang w:val="en-GB"/>
        </w:rPr>
        <w:t xml:space="preserve"> and </w:t>
      </w:r>
      <w:proofErr w:type="spellStart"/>
      <w:r>
        <w:rPr>
          <w:rFonts w:ascii="Times New Roman" w:hAnsi="Times New Roman" w:cs="Times New Roman"/>
          <w:sz w:val="24"/>
          <w:szCs w:val="24"/>
          <w:lang w:val="en-GB"/>
        </w:rPr>
        <w:t>C</w:t>
      </w:r>
      <w:r>
        <w:rPr>
          <w:rFonts w:ascii="Times New Roman" w:hAnsi="Times New Roman" w:cs="Times New Roman"/>
          <w:sz w:val="24"/>
          <w:szCs w:val="24"/>
          <w:vertAlign w:val="subscript"/>
          <w:lang w:val="en-GB"/>
        </w:rPr>
        <w:t>feedstock</w:t>
      </w:r>
      <w:proofErr w:type="spellEnd"/>
      <w:r>
        <w:rPr>
          <w:rFonts w:ascii="Times New Roman" w:hAnsi="Times New Roman" w:cs="Times New Roman"/>
          <w:sz w:val="24"/>
          <w:szCs w:val="24"/>
          <w:lang w:val="en-GB"/>
        </w:rPr>
        <w:t xml:space="preserve">, </w:t>
      </w:r>
      <w:proofErr w:type="spellStart"/>
      <w:r>
        <w:rPr>
          <w:rFonts w:ascii="Times New Roman" w:hAnsi="Times New Roman" w:cs="Times New Roman"/>
          <w:sz w:val="24"/>
          <w:szCs w:val="24"/>
          <w:lang w:val="en-GB"/>
        </w:rPr>
        <w:t>H</w:t>
      </w:r>
      <w:r>
        <w:rPr>
          <w:rFonts w:ascii="Times New Roman" w:hAnsi="Times New Roman" w:cs="Times New Roman"/>
          <w:sz w:val="24"/>
          <w:szCs w:val="24"/>
          <w:vertAlign w:val="subscript"/>
          <w:lang w:val="en-GB"/>
        </w:rPr>
        <w:t>feedstock</w:t>
      </w:r>
      <w:proofErr w:type="spellEnd"/>
      <w:r>
        <w:rPr>
          <w:rFonts w:ascii="Times New Roman" w:hAnsi="Times New Roman" w:cs="Times New Roman"/>
          <w:sz w:val="24"/>
          <w:szCs w:val="24"/>
          <w:lang w:val="en-GB"/>
        </w:rPr>
        <w:t xml:space="preserve"> are the dry ash free carbon and hydrogen content of the WT and raw samples, respectively.</w:t>
      </w:r>
    </w:p>
    <w:p>
      <w:pPr>
        <w:spacing w:after="0" w:line="480" w:lineRule="auto"/>
        <w:ind w:firstLine="709"/>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Decarbonization (DC), dehydrogenation (DH), and deoxygenation (DO) or oxygen removal efficiency (ORE) are three measures used to quantify the mass losses of carbon, hydrogen, and oxygen in biomass during torrefaction </w:t>
      </w:r>
      <w:r>
        <w:rPr>
          <w:rFonts w:ascii="Times New Roman" w:hAnsi="Times New Roman" w:cs="Times New Roman"/>
          <w:sz w:val="24"/>
          <w:szCs w:val="24"/>
          <w:lang w:val="en-GB"/>
        </w:rPr>
        <w:fldChar w:fldCharType="begin" w:fldLock="1"/>
      </w:r>
      <w:r>
        <w:rPr>
          <w:rFonts w:ascii="Times New Roman" w:hAnsi="Times New Roman" w:cs="Times New Roman"/>
          <w:sz w:val="24"/>
          <w:szCs w:val="24"/>
          <w:lang w:val="en-GB"/>
        </w:rPr>
        <w:instrText>ADDIN CSL_CITATION {"citationItems":[{"id":"ITEM-1","itemData":{"DOI":"10.1016/j.apenergy.2018.03.129","ISSN":"03062619","abstract":"Weight loss has been suggested as an important indicator of torrefaction severity for describing the performance of this thermal pretreatment process. The present study establishes a correlation of torrefaction performance, severity, and energy usage for the applications of this pretreatment for solid fuel (biochar) production. Three different biomass wastes, namely, spent coffee grounds, Chinese medicine residue, and microalga residue, have been torrefied in nitrogen at a temperature range of 200–300 °C for 15–60 min to produce biochars. Their properties such as the enhancement factor of higher heating value, energy yield, decarbonization, dehydrogenation, deoxygenation, and atomic O/C and H/C ratios have been investigated. The obtained results indicate that the introduced dimensionless parameter (the torrefaction severity index in terms of the weight loss of biomass) correlates sufficiently with the biochar properties; the exception is the O/C ratio as a consequence of the intrinsic difference in components between the utilized wastes. A new parameter (the upgrading energy index) was also defined to account for the energy efficiency of the torrefaction system. This index follows a decreasing trend with increasing torrefaction severity index. This shows that biochar quality or heating value is intensified at a higher torrefaction severity; however, the energy efficiency is lowered.","author":[{"dropping-particle":"","family":"Zhang","given":"Congyu","non-dropping-particle":"","parse-names":false,"suffix":""},{"dropping-particle":"","family":"Ho","given":"Shih Hsin","non-dropping-particle":"","parse-names":false,"suffix":""},{"dropping-particle":"","family":"Chen","given":"Wei Hsin","non-dropping-particle":"","parse-names":false,"suffix":""},{"dropping-particle":"","family":"Xie","given":"Youping","non-dropping-particle":"","parse-names":false,"suffix":""},{"dropping-particle":"","family":"Liu","given":"Zhenquan","non-dropping-particle":"","parse-names":false,"suffix":""},{"dropping-particle":"","family":"Chang","given":"Jo Shu","non-dropping-particle":"","parse-names":false,"suffix":""}],"container-title":"Applied Energy","id":"ITEM-1","issued":{"date-parts":[["2018"]]},"page":"598-604","publisher":"Elsevier","title":"Torrefaction performance and energy usage of biomass wastes and their correlations with torrefaction severity index","type":"article-journal","volume":"220"},"uris":["http://www.mendeley.com/documents/?uuid=f5bd5791-677d-44c1-973a-d04534eed368"]}],"mendeley":{"formattedCitation":"[10]","plainTextFormattedCitation":"[10]","previouslyFormattedCitation":"[10]"},"properties":{"noteIndex":0},"schema":"https://github.com/citation-style-language/schema/raw/master/csl-citation.json"}</w:instrText>
      </w:r>
      <w:r>
        <w:rPr>
          <w:rFonts w:ascii="Times New Roman" w:hAnsi="Times New Roman" w:cs="Times New Roman"/>
          <w:sz w:val="24"/>
          <w:szCs w:val="24"/>
          <w:lang w:val="en-GB"/>
        </w:rPr>
        <w:fldChar w:fldCharType="separate"/>
      </w:r>
      <w:r>
        <w:rPr>
          <w:rFonts w:ascii="Times New Roman" w:hAnsi="Times New Roman" w:cs="Times New Roman"/>
          <w:noProof/>
          <w:sz w:val="24"/>
          <w:szCs w:val="24"/>
          <w:lang w:val="en-GB"/>
        </w:rPr>
        <w:t>[10]</w:t>
      </w:r>
      <w:r>
        <w:rPr>
          <w:rFonts w:ascii="Times New Roman" w:hAnsi="Times New Roman" w:cs="Times New Roman"/>
          <w:sz w:val="24"/>
          <w:szCs w:val="24"/>
          <w:lang w:val="en-GB"/>
        </w:rPr>
        <w:fldChar w:fldCharType="end"/>
      </w:r>
      <w:r>
        <w:rPr>
          <w:rFonts w:ascii="Times New Roman" w:hAnsi="Times New Roman" w:cs="Times New Roman"/>
          <w:sz w:val="24"/>
          <w:szCs w:val="24"/>
          <w:lang w:val="en-GB"/>
        </w:rPr>
        <w:t>. DC represents the percentage of carbon loss in the biomass due to WT and can be determined using the following formula:</w:t>
      </w:r>
    </w:p>
    <w:p>
      <w:pPr>
        <w:tabs>
          <w:tab w:val="right" w:pos="9026"/>
        </w:tabs>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DC (%) = 100‒Y</w:t>
      </w:r>
      <w:r>
        <w:rPr>
          <w:rFonts w:ascii="Times New Roman" w:hAnsi="Times New Roman" w:cs="Times New Roman"/>
          <w:sz w:val="24"/>
          <w:szCs w:val="24"/>
          <w:vertAlign w:val="subscript"/>
          <w:lang w:val="en-GB"/>
        </w:rPr>
        <w:t>solid</w:t>
      </w:r>
      <w:r>
        <w:rPr>
          <w:rFonts w:ascii="Times New Roman" w:hAnsi="Times New Roman" w:cs="Times New Roman"/>
          <w:sz w:val="24"/>
          <w:szCs w:val="24"/>
          <w:lang w:val="en-GB"/>
        </w:rPr>
        <w:t xml:space="preserve"> (%) × (</w:t>
      </w:r>
      <w:bookmarkStart w:id="2" w:name="_Hlk148307587"/>
      <w:proofErr w:type="spellStart"/>
      <w:r>
        <w:rPr>
          <w:rFonts w:ascii="Times New Roman" w:hAnsi="Times New Roman" w:cs="Times New Roman"/>
          <w:sz w:val="24"/>
          <w:szCs w:val="24"/>
          <w:lang w:val="en-GB"/>
        </w:rPr>
        <w:t>C</w:t>
      </w:r>
      <w:r>
        <w:rPr>
          <w:rFonts w:ascii="Times New Roman" w:hAnsi="Times New Roman" w:cs="Times New Roman"/>
          <w:sz w:val="24"/>
          <w:szCs w:val="24"/>
          <w:vertAlign w:val="subscript"/>
          <w:lang w:val="en-GB"/>
        </w:rPr>
        <w:t>product</w:t>
      </w:r>
      <w:proofErr w:type="spellEnd"/>
      <w:r>
        <w:rPr>
          <w:rFonts w:ascii="Times New Roman" w:hAnsi="Times New Roman" w:cs="Times New Roman"/>
          <w:sz w:val="24"/>
          <w:szCs w:val="24"/>
          <w:lang w:val="en-GB"/>
        </w:rPr>
        <w:t>/</w:t>
      </w:r>
      <w:proofErr w:type="spellStart"/>
      <w:r>
        <w:rPr>
          <w:rFonts w:ascii="Times New Roman" w:hAnsi="Times New Roman" w:cs="Times New Roman"/>
          <w:sz w:val="24"/>
          <w:szCs w:val="24"/>
          <w:lang w:val="en-GB"/>
        </w:rPr>
        <w:t>C</w:t>
      </w:r>
      <w:r>
        <w:rPr>
          <w:rFonts w:ascii="Times New Roman" w:hAnsi="Times New Roman" w:cs="Times New Roman"/>
          <w:sz w:val="24"/>
          <w:szCs w:val="24"/>
          <w:vertAlign w:val="subscript"/>
          <w:lang w:val="en-GB"/>
        </w:rPr>
        <w:t>feedstock</w:t>
      </w:r>
      <w:bookmarkEnd w:id="2"/>
      <w:proofErr w:type="spellEnd"/>
      <w:r>
        <w:rPr>
          <w:rFonts w:ascii="Times New Roman" w:hAnsi="Times New Roman" w:cs="Times New Roman"/>
          <w:sz w:val="24"/>
          <w:szCs w:val="24"/>
          <w:lang w:val="en-GB"/>
        </w:rPr>
        <w:t>)</w:t>
      </w:r>
      <w:r>
        <w:rPr>
          <w:rFonts w:ascii="Times New Roman" w:hAnsi="Times New Roman" w:cs="Times New Roman"/>
          <w:sz w:val="24"/>
          <w:szCs w:val="24"/>
          <w:lang w:val="en-GB"/>
        </w:rPr>
        <w:tab/>
        <w:t>(11)</w:t>
      </w:r>
    </w:p>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DH and DO can be similarly calculated using the same procedure as DC.</w:t>
      </w:r>
    </w:p>
    <w:p>
      <w:pPr>
        <w:tabs>
          <w:tab w:val="right" w:pos="9026"/>
        </w:tabs>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DH (%) = 100‒Y</w:t>
      </w:r>
      <w:r>
        <w:rPr>
          <w:rFonts w:ascii="Times New Roman" w:hAnsi="Times New Roman" w:cs="Times New Roman"/>
          <w:sz w:val="24"/>
          <w:szCs w:val="24"/>
          <w:vertAlign w:val="subscript"/>
          <w:lang w:val="en-GB"/>
        </w:rPr>
        <w:t>solid</w:t>
      </w:r>
      <w:r>
        <w:rPr>
          <w:rFonts w:ascii="Times New Roman" w:hAnsi="Times New Roman" w:cs="Times New Roman"/>
          <w:sz w:val="24"/>
          <w:szCs w:val="24"/>
          <w:lang w:val="en-GB"/>
        </w:rPr>
        <w:t xml:space="preserve"> (%) × (</w:t>
      </w:r>
      <w:proofErr w:type="spellStart"/>
      <w:r>
        <w:rPr>
          <w:rFonts w:ascii="Times New Roman" w:hAnsi="Times New Roman" w:cs="Times New Roman"/>
          <w:sz w:val="24"/>
          <w:szCs w:val="24"/>
          <w:lang w:val="en-GB"/>
        </w:rPr>
        <w:t>H</w:t>
      </w:r>
      <w:r>
        <w:rPr>
          <w:rFonts w:ascii="Times New Roman" w:hAnsi="Times New Roman" w:cs="Times New Roman"/>
          <w:sz w:val="24"/>
          <w:szCs w:val="24"/>
          <w:vertAlign w:val="subscript"/>
          <w:lang w:val="en-GB"/>
        </w:rPr>
        <w:t>product</w:t>
      </w:r>
      <w:proofErr w:type="spellEnd"/>
      <w:r>
        <w:rPr>
          <w:rFonts w:ascii="Times New Roman" w:hAnsi="Times New Roman" w:cs="Times New Roman"/>
          <w:sz w:val="24"/>
          <w:szCs w:val="24"/>
          <w:lang w:val="en-GB"/>
        </w:rPr>
        <w:t>/</w:t>
      </w:r>
      <w:proofErr w:type="spellStart"/>
      <w:r>
        <w:rPr>
          <w:rFonts w:ascii="Times New Roman" w:hAnsi="Times New Roman" w:cs="Times New Roman"/>
          <w:sz w:val="24"/>
          <w:szCs w:val="24"/>
          <w:lang w:val="en-GB"/>
        </w:rPr>
        <w:t>H</w:t>
      </w:r>
      <w:r>
        <w:rPr>
          <w:rFonts w:ascii="Times New Roman" w:hAnsi="Times New Roman" w:cs="Times New Roman"/>
          <w:sz w:val="24"/>
          <w:szCs w:val="24"/>
          <w:vertAlign w:val="subscript"/>
          <w:lang w:val="en-GB"/>
        </w:rPr>
        <w:t>feedstock</w:t>
      </w:r>
      <w:proofErr w:type="spellEnd"/>
      <w:r>
        <w:rPr>
          <w:rFonts w:ascii="Times New Roman" w:hAnsi="Times New Roman" w:cs="Times New Roman"/>
          <w:sz w:val="24"/>
          <w:szCs w:val="24"/>
          <w:lang w:val="en-GB"/>
        </w:rPr>
        <w:t>)</w:t>
      </w:r>
      <w:r>
        <w:rPr>
          <w:rFonts w:ascii="Times New Roman" w:hAnsi="Times New Roman" w:cs="Times New Roman"/>
          <w:sz w:val="24"/>
          <w:szCs w:val="24"/>
          <w:lang w:val="en-GB"/>
        </w:rPr>
        <w:tab/>
        <w:t>(12)</w:t>
      </w:r>
    </w:p>
    <w:p>
      <w:pPr>
        <w:tabs>
          <w:tab w:val="right" w:pos="9026"/>
        </w:tabs>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DO (%) = 100‒Y</w:t>
      </w:r>
      <w:r>
        <w:rPr>
          <w:rFonts w:ascii="Times New Roman" w:hAnsi="Times New Roman" w:cs="Times New Roman"/>
          <w:sz w:val="24"/>
          <w:szCs w:val="24"/>
          <w:vertAlign w:val="subscript"/>
          <w:lang w:val="en-GB"/>
        </w:rPr>
        <w:t>solid</w:t>
      </w:r>
      <w:r>
        <w:rPr>
          <w:rFonts w:ascii="Times New Roman" w:hAnsi="Times New Roman" w:cs="Times New Roman"/>
          <w:sz w:val="24"/>
          <w:szCs w:val="24"/>
          <w:lang w:val="en-GB"/>
        </w:rPr>
        <w:t xml:space="preserve"> (%) × (</w:t>
      </w:r>
      <w:proofErr w:type="spellStart"/>
      <w:r>
        <w:rPr>
          <w:rFonts w:ascii="Times New Roman" w:hAnsi="Times New Roman" w:cs="Times New Roman"/>
          <w:sz w:val="24"/>
          <w:szCs w:val="24"/>
          <w:lang w:val="en-GB"/>
        </w:rPr>
        <w:t>O</w:t>
      </w:r>
      <w:r>
        <w:rPr>
          <w:rFonts w:ascii="Times New Roman" w:hAnsi="Times New Roman" w:cs="Times New Roman"/>
          <w:sz w:val="24"/>
          <w:szCs w:val="24"/>
          <w:vertAlign w:val="subscript"/>
          <w:lang w:val="en-GB"/>
        </w:rPr>
        <w:t>product</w:t>
      </w:r>
      <w:proofErr w:type="spellEnd"/>
      <w:r>
        <w:rPr>
          <w:rFonts w:ascii="Times New Roman" w:hAnsi="Times New Roman" w:cs="Times New Roman"/>
          <w:sz w:val="24"/>
          <w:szCs w:val="24"/>
          <w:lang w:val="en-GB"/>
        </w:rPr>
        <w:t>/</w:t>
      </w:r>
      <w:proofErr w:type="spellStart"/>
      <w:r>
        <w:rPr>
          <w:rFonts w:ascii="Times New Roman" w:hAnsi="Times New Roman" w:cs="Times New Roman"/>
          <w:sz w:val="24"/>
          <w:szCs w:val="24"/>
          <w:lang w:val="en-GB"/>
        </w:rPr>
        <w:t>O</w:t>
      </w:r>
      <w:r>
        <w:rPr>
          <w:rFonts w:ascii="Times New Roman" w:hAnsi="Times New Roman" w:cs="Times New Roman"/>
          <w:sz w:val="24"/>
          <w:szCs w:val="24"/>
          <w:vertAlign w:val="subscript"/>
          <w:lang w:val="en-GB"/>
        </w:rPr>
        <w:t>feedstock</w:t>
      </w:r>
      <w:proofErr w:type="spellEnd"/>
      <w:r>
        <w:rPr>
          <w:rFonts w:ascii="Times New Roman" w:hAnsi="Times New Roman" w:cs="Times New Roman"/>
          <w:sz w:val="24"/>
          <w:szCs w:val="24"/>
          <w:lang w:val="en-GB"/>
        </w:rPr>
        <w:t>)</w:t>
      </w:r>
      <w:r>
        <w:rPr>
          <w:rFonts w:ascii="Times New Roman" w:hAnsi="Times New Roman" w:cs="Times New Roman"/>
          <w:sz w:val="24"/>
          <w:szCs w:val="24"/>
          <w:lang w:val="en-GB"/>
        </w:rPr>
        <w:tab/>
        <w:t>(13)</w:t>
      </w:r>
    </w:p>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where </w:t>
      </w:r>
      <w:proofErr w:type="spellStart"/>
      <w:r>
        <w:rPr>
          <w:rFonts w:ascii="Times New Roman" w:hAnsi="Times New Roman" w:cs="Times New Roman"/>
          <w:sz w:val="24"/>
          <w:szCs w:val="24"/>
          <w:lang w:val="en-GB"/>
        </w:rPr>
        <w:t>O</w:t>
      </w:r>
      <w:r>
        <w:rPr>
          <w:rFonts w:ascii="Times New Roman" w:hAnsi="Times New Roman" w:cs="Times New Roman"/>
          <w:sz w:val="24"/>
          <w:szCs w:val="24"/>
          <w:vertAlign w:val="subscript"/>
          <w:lang w:val="en-GB"/>
        </w:rPr>
        <w:t>product</w:t>
      </w:r>
      <w:proofErr w:type="spellEnd"/>
      <w:r>
        <w:rPr>
          <w:rFonts w:ascii="Times New Roman" w:hAnsi="Times New Roman" w:cs="Times New Roman"/>
          <w:sz w:val="24"/>
          <w:szCs w:val="24"/>
          <w:lang w:val="en-GB"/>
        </w:rPr>
        <w:t xml:space="preserve"> and </w:t>
      </w:r>
      <w:proofErr w:type="spellStart"/>
      <w:r>
        <w:rPr>
          <w:rFonts w:ascii="Times New Roman" w:hAnsi="Times New Roman" w:cs="Times New Roman"/>
          <w:sz w:val="24"/>
          <w:szCs w:val="24"/>
          <w:lang w:val="en-GB"/>
        </w:rPr>
        <w:t>O</w:t>
      </w:r>
      <w:r>
        <w:rPr>
          <w:rFonts w:ascii="Times New Roman" w:hAnsi="Times New Roman" w:cs="Times New Roman"/>
          <w:sz w:val="24"/>
          <w:szCs w:val="24"/>
          <w:vertAlign w:val="subscript"/>
          <w:lang w:val="en-GB"/>
        </w:rPr>
        <w:t>feedstock</w:t>
      </w:r>
      <w:proofErr w:type="spellEnd"/>
      <w:r>
        <w:rPr>
          <w:rFonts w:ascii="Times New Roman" w:hAnsi="Times New Roman" w:cs="Times New Roman"/>
          <w:sz w:val="24"/>
          <w:szCs w:val="24"/>
          <w:lang w:val="en-GB"/>
        </w:rPr>
        <w:t xml:space="preserve"> are the dry ash free oxygen content of the WT and raw samples, respectively.</w:t>
      </w:r>
    </w:p>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Ash removal efficiency (ARE) was calculated as follow:</w:t>
      </w:r>
    </w:p>
    <w:p>
      <w:pPr>
        <w:tabs>
          <w:tab w:val="right" w:pos="9026"/>
        </w:tabs>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ARE (%) = 100‒Y</w:t>
      </w:r>
      <w:r>
        <w:rPr>
          <w:rFonts w:ascii="Times New Roman" w:hAnsi="Times New Roman" w:cs="Times New Roman"/>
          <w:sz w:val="24"/>
          <w:szCs w:val="24"/>
          <w:vertAlign w:val="subscript"/>
          <w:lang w:val="en-GB"/>
        </w:rPr>
        <w:t>solid</w:t>
      </w:r>
      <w:r>
        <w:rPr>
          <w:rFonts w:ascii="Times New Roman" w:hAnsi="Times New Roman" w:cs="Times New Roman"/>
          <w:sz w:val="24"/>
          <w:szCs w:val="24"/>
          <w:lang w:val="en-GB"/>
        </w:rPr>
        <w:t xml:space="preserve"> (%) × (</w:t>
      </w:r>
      <w:proofErr w:type="spellStart"/>
      <w:r>
        <w:rPr>
          <w:rFonts w:ascii="Times New Roman" w:hAnsi="Times New Roman" w:cs="Times New Roman"/>
          <w:sz w:val="24"/>
          <w:szCs w:val="24"/>
          <w:lang w:val="en-GB"/>
        </w:rPr>
        <w:t>A</w:t>
      </w:r>
      <w:r>
        <w:rPr>
          <w:rFonts w:ascii="Times New Roman" w:hAnsi="Times New Roman" w:cs="Times New Roman"/>
          <w:sz w:val="24"/>
          <w:szCs w:val="24"/>
          <w:vertAlign w:val="subscript"/>
          <w:lang w:val="en-GB"/>
        </w:rPr>
        <w:t>product</w:t>
      </w:r>
      <w:proofErr w:type="spellEnd"/>
      <w:r>
        <w:rPr>
          <w:rFonts w:ascii="Times New Roman" w:hAnsi="Times New Roman" w:cs="Times New Roman"/>
          <w:sz w:val="24"/>
          <w:szCs w:val="24"/>
          <w:lang w:val="en-GB"/>
        </w:rPr>
        <w:t>/</w:t>
      </w:r>
      <w:proofErr w:type="spellStart"/>
      <w:r>
        <w:rPr>
          <w:rFonts w:ascii="Times New Roman" w:hAnsi="Times New Roman" w:cs="Times New Roman"/>
          <w:sz w:val="24"/>
          <w:szCs w:val="24"/>
          <w:lang w:val="en-GB"/>
        </w:rPr>
        <w:t>A</w:t>
      </w:r>
      <w:r>
        <w:rPr>
          <w:rFonts w:ascii="Times New Roman" w:hAnsi="Times New Roman" w:cs="Times New Roman"/>
          <w:sz w:val="24"/>
          <w:szCs w:val="24"/>
          <w:vertAlign w:val="subscript"/>
          <w:lang w:val="en-GB"/>
        </w:rPr>
        <w:t>feedstock</w:t>
      </w:r>
      <w:proofErr w:type="spellEnd"/>
      <w:r>
        <w:rPr>
          <w:rFonts w:ascii="Times New Roman" w:hAnsi="Times New Roman" w:cs="Times New Roman"/>
          <w:sz w:val="24"/>
          <w:szCs w:val="24"/>
          <w:lang w:val="en-GB"/>
        </w:rPr>
        <w:t>)</w:t>
      </w:r>
      <w:r>
        <w:rPr>
          <w:rFonts w:ascii="Times New Roman" w:hAnsi="Times New Roman" w:cs="Times New Roman"/>
          <w:sz w:val="24"/>
          <w:szCs w:val="24"/>
          <w:lang w:val="en-GB"/>
        </w:rPr>
        <w:tab/>
        <w:t>(14)</w:t>
      </w:r>
    </w:p>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where </w:t>
      </w:r>
      <w:proofErr w:type="spellStart"/>
      <w:r>
        <w:rPr>
          <w:rFonts w:ascii="Times New Roman" w:hAnsi="Times New Roman" w:cs="Times New Roman"/>
          <w:sz w:val="24"/>
          <w:szCs w:val="24"/>
          <w:lang w:val="en-GB"/>
        </w:rPr>
        <w:t>A</w:t>
      </w:r>
      <w:r>
        <w:rPr>
          <w:rFonts w:ascii="Times New Roman" w:hAnsi="Times New Roman" w:cs="Times New Roman"/>
          <w:sz w:val="24"/>
          <w:szCs w:val="24"/>
          <w:vertAlign w:val="subscript"/>
          <w:lang w:val="en-GB"/>
        </w:rPr>
        <w:t>product</w:t>
      </w:r>
      <w:proofErr w:type="spellEnd"/>
      <w:r>
        <w:rPr>
          <w:rFonts w:ascii="Times New Roman" w:hAnsi="Times New Roman" w:cs="Times New Roman"/>
          <w:sz w:val="24"/>
          <w:szCs w:val="24"/>
          <w:lang w:val="en-GB"/>
        </w:rPr>
        <w:t xml:space="preserve"> and </w:t>
      </w:r>
      <w:proofErr w:type="spellStart"/>
      <w:r>
        <w:rPr>
          <w:rFonts w:ascii="Times New Roman" w:hAnsi="Times New Roman" w:cs="Times New Roman"/>
          <w:sz w:val="24"/>
          <w:szCs w:val="24"/>
          <w:lang w:val="en-GB"/>
        </w:rPr>
        <w:t>A</w:t>
      </w:r>
      <w:r>
        <w:rPr>
          <w:rFonts w:ascii="Times New Roman" w:hAnsi="Times New Roman" w:cs="Times New Roman"/>
          <w:sz w:val="24"/>
          <w:szCs w:val="24"/>
          <w:vertAlign w:val="subscript"/>
          <w:lang w:val="en-GB"/>
        </w:rPr>
        <w:t>feedstock</w:t>
      </w:r>
      <w:proofErr w:type="spellEnd"/>
      <w:r>
        <w:rPr>
          <w:rFonts w:ascii="Times New Roman" w:hAnsi="Times New Roman" w:cs="Times New Roman"/>
          <w:sz w:val="24"/>
          <w:szCs w:val="24"/>
          <w:lang w:val="en-GB"/>
        </w:rPr>
        <w:t xml:space="preserve"> are the dry ash content of the WT and raw samples, respectively.</w:t>
      </w:r>
    </w:p>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A metric referred to as carbon enrichment (CE), used to assess the degree of carbonization in WT of WCPR, is defined as follows:</w:t>
      </w:r>
    </w:p>
    <w:p>
      <w:pPr>
        <w:tabs>
          <w:tab w:val="right" w:pos="9026"/>
        </w:tabs>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CE = </w:t>
      </w:r>
      <w:proofErr w:type="spellStart"/>
      <w:r>
        <w:rPr>
          <w:rFonts w:ascii="Times New Roman" w:hAnsi="Times New Roman" w:cs="Times New Roman"/>
          <w:sz w:val="24"/>
          <w:szCs w:val="24"/>
          <w:lang w:val="en-GB"/>
        </w:rPr>
        <w:t>C</w:t>
      </w:r>
      <w:r>
        <w:rPr>
          <w:rFonts w:ascii="Times New Roman" w:hAnsi="Times New Roman" w:cs="Times New Roman"/>
          <w:sz w:val="24"/>
          <w:szCs w:val="24"/>
          <w:vertAlign w:val="subscript"/>
          <w:lang w:val="en-GB"/>
        </w:rPr>
        <w:t>product</w:t>
      </w:r>
      <w:proofErr w:type="spellEnd"/>
      <w:r>
        <w:rPr>
          <w:rFonts w:ascii="Times New Roman" w:hAnsi="Times New Roman" w:cs="Times New Roman"/>
          <w:sz w:val="24"/>
          <w:szCs w:val="24"/>
          <w:lang w:val="en-GB"/>
        </w:rPr>
        <w:t>/</w:t>
      </w:r>
      <w:proofErr w:type="spellStart"/>
      <w:r>
        <w:rPr>
          <w:rFonts w:ascii="Times New Roman" w:hAnsi="Times New Roman" w:cs="Times New Roman"/>
          <w:sz w:val="24"/>
          <w:szCs w:val="24"/>
          <w:lang w:val="en-GB"/>
        </w:rPr>
        <w:t>C</w:t>
      </w:r>
      <w:r>
        <w:rPr>
          <w:rFonts w:ascii="Times New Roman" w:hAnsi="Times New Roman" w:cs="Times New Roman"/>
          <w:sz w:val="24"/>
          <w:szCs w:val="24"/>
          <w:vertAlign w:val="subscript"/>
          <w:lang w:val="en-GB"/>
        </w:rPr>
        <w:t>feedstock</w:t>
      </w:r>
      <w:proofErr w:type="spellEnd"/>
      <w:r>
        <w:rPr>
          <w:rFonts w:ascii="Times New Roman" w:hAnsi="Times New Roman" w:cs="Times New Roman"/>
          <w:sz w:val="24"/>
          <w:szCs w:val="24"/>
          <w:vertAlign w:val="subscript"/>
          <w:lang w:val="en-GB"/>
        </w:rPr>
        <w:tab/>
      </w:r>
      <w:r>
        <w:rPr>
          <w:rFonts w:ascii="Times New Roman" w:hAnsi="Times New Roman" w:cs="Times New Roman"/>
          <w:sz w:val="24"/>
          <w:szCs w:val="24"/>
          <w:lang w:val="en-GB"/>
        </w:rPr>
        <w:t>(15)</w:t>
      </w:r>
    </w:p>
    <w:p>
      <w:pPr>
        <w:rPr>
          <w:rFonts w:ascii="Times New Roman" w:hAnsi="Times New Roman" w:cs="Times New Roman"/>
          <w:sz w:val="24"/>
          <w:szCs w:val="24"/>
          <w:lang w:val="en-GB"/>
        </w:rPr>
      </w:pPr>
      <w:r>
        <w:rPr>
          <w:rFonts w:ascii="Times New Roman" w:hAnsi="Times New Roman" w:cs="Times New Roman"/>
          <w:sz w:val="24"/>
          <w:szCs w:val="24"/>
          <w:lang w:val="en-GB"/>
        </w:rPr>
        <w:br w:type="page"/>
      </w:r>
    </w:p>
    <w:p>
      <w:pPr>
        <w:rPr>
          <w:rFonts w:ascii="Times New Roman" w:hAnsi="Times New Roman" w:cs="Times New Roman"/>
          <w:sz w:val="24"/>
          <w:szCs w:val="24"/>
          <w:lang w:val="en-GB"/>
        </w:rPr>
      </w:pPr>
    </w:p>
    <w:p>
      <w:pPr>
        <w:spacing w:after="0" w:line="480" w:lineRule="auto"/>
        <w:jc w:val="both"/>
        <w:rPr>
          <w:rFonts w:ascii="Times New Roman" w:hAnsi="Times New Roman" w:cs="Times New Roman"/>
          <w:b/>
          <w:bCs/>
          <w:iCs/>
          <w:sz w:val="24"/>
          <w:szCs w:val="24"/>
          <w:lang w:val="en-GB"/>
        </w:rPr>
      </w:pPr>
      <w:r>
        <w:rPr>
          <w:noProof/>
        </w:rPr>
        <w:drawing>
          <wp:inline distT="0" distB="0" distL="0" distR="0">
            <wp:extent cx="5943600" cy="463232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943600" cy="4632325"/>
                    </a:xfrm>
                    <a:prstGeom prst="rect">
                      <a:avLst/>
                    </a:prstGeom>
                  </pic:spPr>
                </pic:pic>
              </a:graphicData>
            </a:graphic>
          </wp:inline>
        </w:drawing>
      </w:r>
    </w:p>
    <w:p>
      <w:pPr>
        <w:spacing w:after="0" w:line="480" w:lineRule="auto"/>
        <w:jc w:val="both"/>
        <w:rPr>
          <w:rFonts w:ascii="Times New Roman" w:hAnsi="Times New Roman" w:cs="Times New Roman"/>
          <w:iCs/>
          <w:sz w:val="24"/>
          <w:szCs w:val="24"/>
          <w:lang w:val="en-GB"/>
        </w:rPr>
      </w:pPr>
      <w:r>
        <w:rPr>
          <w:rFonts w:ascii="Times New Roman" w:hAnsi="Times New Roman" w:cs="Times New Roman"/>
          <w:b/>
          <w:bCs/>
          <w:iCs/>
          <w:sz w:val="24"/>
          <w:szCs w:val="24"/>
          <w:lang w:val="en-GB"/>
        </w:rPr>
        <w:t xml:space="preserve">Fig. S1. </w:t>
      </w:r>
      <w:r>
        <w:rPr>
          <w:rFonts w:ascii="Times New Roman" w:hAnsi="Times New Roman" w:cs="Times New Roman"/>
          <w:iCs/>
          <w:sz w:val="24"/>
          <w:szCs w:val="24"/>
          <w:lang w:val="en-GB"/>
        </w:rPr>
        <w:t>GC-MS spectra of the liquid product mixture after DT of WCPR at 270 °C for 15 min.</w:t>
      </w:r>
    </w:p>
    <w:p>
      <w:pPr>
        <w:spacing w:after="0" w:line="480" w:lineRule="auto"/>
        <w:jc w:val="both"/>
        <w:rPr>
          <w:rFonts w:ascii="Times New Roman" w:hAnsi="Times New Roman" w:cs="Times New Roman"/>
          <w:b/>
          <w:bCs/>
          <w:iCs/>
          <w:sz w:val="24"/>
          <w:szCs w:val="24"/>
          <w:lang w:val="en-GB"/>
        </w:rPr>
      </w:pPr>
    </w:p>
    <w:p>
      <w:pPr>
        <w:spacing w:after="0" w:line="480" w:lineRule="auto"/>
        <w:jc w:val="both"/>
        <w:rPr>
          <w:rFonts w:ascii="Times New Roman" w:hAnsi="Times New Roman" w:cs="Times New Roman"/>
          <w:b/>
          <w:bCs/>
          <w:iCs/>
          <w:sz w:val="24"/>
          <w:szCs w:val="24"/>
          <w:lang w:val="en-GB"/>
        </w:rPr>
      </w:pPr>
    </w:p>
    <w:p>
      <w:pPr>
        <w:spacing w:after="0" w:line="480" w:lineRule="auto"/>
        <w:jc w:val="both"/>
        <w:rPr>
          <w:rFonts w:ascii="Times New Roman" w:hAnsi="Times New Roman" w:cs="Times New Roman"/>
          <w:b/>
          <w:bCs/>
          <w:iCs/>
          <w:sz w:val="24"/>
          <w:szCs w:val="24"/>
          <w:lang w:val="en-GB"/>
        </w:rPr>
      </w:pPr>
    </w:p>
    <w:p>
      <w:pPr>
        <w:spacing w:after="0" w:line="480" w:lineRule="auto"/>
        <w:jc w:val="both"/>
        <w:rPr>
          <w:rFonts w:ascii="Times New Roman" w:hAnsi="Times New Roman" w:cs="Times New Roman"/>
          <w:b/>
          <w:bCs/>
          <w:iCs/>
          <w:sz w:val="24"/>
          <w:szCs w:val="24"/>
          <w:lang w:val="en-GB"/>
        </w:rPr>
      </w:pPr>
    </w:p>
    <w:p>
      <w:pPr>
        <w:spacing w:after="0" w:line="480" w:lineRule="auto"/>
        <w:jc w:val="both"/>
        <w:rPr>
          <w:rFonts w:ascii="Times New Roman" w:hAnsi="Times New Roman" w:cs="Times New Roman"/>
          <w:b/>
          <w:bCs/>
          <w:iCs/>
          <w:sz w:val="24"/>
          <w:szCs w:val="24"/>
          <w:lang w:val="en-GB"/>
        </w:rPr>
      </w:pPr>
    </w:p>
    <w:p>
      <w:pPr>
        <w:spacing w:after="0" w:line="480" w:lineRule="auto"/>
        <w:jc w:val="both"/>
        <w:rPr>
          <w:rFonts w:ascii="Times New Roman" w:hAnsi="Times New Roman" w:cs="Times New Roman"/>
          <w:b/>
          <w:bCs/>
          <w:iCs/>
          <w:sz w:val="24"/>
          <w:szCs w:val="24"/>
          <w:lang w:val="en-GB"/>
        </w:rPr>
      </w:pPr>
    </w:p>
    <w:p>
      <w:pPr>
        <w:spacing w:after="0" w:line="480" w:lineRule="auto"/>
        <w:jc w:val="both"/>
        <w:rPr>
          <w:rFonts w:ascii="Times New Roman" w:hAnsi="Times New Roman" w:cs="Times New Roman"/>
          <w:b/>
          <w:bCs/>
          <w:iCs/>
          <w:sz w:val="24"/>
          <w:szCs w:val="24"/>
          <w:lang w:val="en-GB"/>
        </w:rPr>
      </w:pPr>
    </w:p>
    <w:p>
      <w:pPr>
        <w:spacing w:after="0" w:line="480" w:lineRule="auto"/>
        <w:jc w:val="both"/>
        <w:rPr>
          <w:rFonts w:ascii="Times New Roman" w:hAnsi="Times New Roman" w:cs="Times New Roman"/>
          <w:b/>
          <w:bCs/>
          <w:iCs/>
          <w:sz w:val="24"/>
          <w:szCs w:val="24"/>
          <w:lang w:val="en-GB"/>
        </w:rPr>
      </w:pPr>
    </w:p>
    <w:p>
      <w:pPr>
        <w:spacing w:after="0" w:line="480" w:lineRule="auto"/>
        <w:jc w:val="both"/>
        <w:rPr>
          <w:rFonts w:ascii="Times New Roman" w:hAnsi="Times New Roman" w:cs="Times New Roman"/>
          <w:b/>
          <w:bCs/>
          <w:iCs/>
          <w:sz w:val="24"/>
          <w:szCs w:val="24"/>
          <w:lang w:val="en-GB"/>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8"/>
        <w:gridCol w:w="4519"/>
      </w:tblGrid>
      <w:tr>
        <w:tc>
          <w:tcPr>
            <w:tcW w:w="4508" w:type="dxa"/>
          </w:tcPr>
          <w:p>
            <w:pPr>
              <w:jc w:val="both"/>
              <w:rPr>
                <w:rFonts w:ascii="Times New Roman" w:hAnsi="Times New Roman" w:cs="Times New Roman"/>
                <w:b/>
                <w:bCs/>
                <w:iCs/>
                <w:sz w:val="24"/>
                <w:szCs w:val="24"/>
                <w:lang w:val="en-GB"/>
              </w:rPr>
            </w:pPr>
            <w:r>
              <w:rPr>
                <w:rFonts w:ascii="Times New Roman" w:hAnsi="Times New Roman" w:cs="Times New Roman"/>
                <w:b/>
                <w:bCs/>
                <w:iCs/>
                <w:sz w:val="24"/>
                <w:szCs w:val="24"/>
                <w:lang w:val="en-GB"/>
              </w:rPr>
              <w:t>(a)</w:t>
            </w:r>
          </w:p>
        </w:tc>
        <w:tc>
          <w:tcPr>
            <w:tcW w:w="4508" w:type="dxa"/>
          </w:tcPr>
          <w:p>
            <w:pPr>
              <w:jc w:val="both"/>
              <w:rPr>
                <w:rFonts w:ascii="Times New Roman" w:hAnsi="Times New Roman" w:cs="Times New Roman"/>
                <w:b/>
                <w:bCs/>
                <w:iCs/>
                <w:sz w:val="24"/>
                <w:szCs w:val="24"/>
                <w:lang w:val="en-GB"/>
              </w:rPr>
            </w:pPr>
            <w:r>
              <w:rPr>
                <w:rFonts w:ascii="Times New Roman" w:hAnsi="Times New Roman" w:cs="Times New Roman"/>
                <w:b/>
                <w:bCs/>
                <w:iCs/>
                <w:sz w:val="24"/>
                <w:szCs w:val="24"/>
                <w:lang w:val="en-GB"/>
              </w:rPr>
              <w:t>(b)</w:t>
            </w:r>
          </w:p>
        </w:tc>
      </w:tr>
      <w:tr>
        <w:tc>
          <w:tcPr>
            <w:tcW w:w="4508" w:type="dxa"/>
          </w:tcPr>
          <w:p>
            <w:pPr>
              <w:jc w:val="both"/>
              <w:rPr>
                <w:rFonts w:ascii="Times New Roman" w:hAnsi="Times New Roman" w:cs="Times New Roman"/>
                <w:b/>
                <w:bCs/>
                <w:iCs/>
                <w:sz w:val="24"/>
                <w:szCs w:val="24"/>
                <w:highlight w:val="yellow"/>
                <w:lang w:val="en-GB"/>
              </w:rPr>
            </w:pPr>
            <w:r>
              <w:rPr>
                <w:noProof/>
              </w:rPr>
              <w:drawing>
                <wp:inline distT="0" distB="0" distL="0" distR="0">
                  <wp:extent cx="2722418" cy="2297738"/>
                  <wp:effectExtent l="0" t="0" r="1905" b="762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2739695" cy="2312320"/>
                          </a:xfrm>
                          <a:prstGeom prst="rect">
                            <a:avLst/>
                          </a:prstGeom>
                        </pic:spPr>
                      </pic:pic>
                    </a:graphicData>
                  </a:graphic>
                </wp:inline>
              </w:drawing>
            </w:r>
          </w:p>
        </w:tc>
        <w:tc>
          <w:tcPr>
            <w:tcW w:w="4508" w:type="dxa"/>
          </w:tcPr>
          <w:p>
            <w:pPr>
              <w:jc w:val="both"/>
              <w:rPr>
                <w:rFonts w:ascii="Times New Roman" w:hAnsi="Times New Roman" w:cs="Times New Roman"/>
                <w:b/>
                <w:bCs/>
                <w:iCs/>
                <w:sz w:val="24"/>
                <w:szCs w:val="24"/>
                <w:highlight w:val="yellow"/>
                <w:lang w:val="en-GB"/>
              </w:rPr>
            </w:pPr>
            <w:r>
              <w:rPr>
                <w:noProof/>
              </w:rPr>
              <w:drawing>
                <wp:inline distT="0" distB="0" distL="0" distR="0">
                  <wp:extent cx="2732604" cy="2321170"/>
                  <wp:effectExtent l="0" t="0" r="0" b="3175"/>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2743643" cy="2330547"/>
                          </a:xfrm>
                          <a:prstGeom prst="rect">
                            <a:avLst/>
                          </a:prstGeom>
                        </pic:spPr>
                      </pic:pic>
                    </a:graphicData>
                  </a:graphic>
                </wp:inline>
              </w:drawing>
            </w:r>
          </w:p>
        </w:tc>
      </w:tr>
    </w:tbl>
    <w:p>
      <w:pPr>
        <w:spacing w:after="0" w:line="480" w:lineRule="auto"/>
        <w:jc w:val="both"/>
        <w:rPr>
          <w:rFonts w:ascii="Times New Roman" w:hAnsi="Times New Roman" w:cs="Times New Roman"/>
          <w:iCs/>
          <w:sz w:val="24"/>
          <w:szCs w:val="24"/>
          <w:lang w:val="en-GB"/>
        </w:rPr>
      </w:pPr>
      <w:r>
        <w:rPr>
          <w:rFonts w:ascii="Times New Roman" w:hAnsi="Times New Roman" w:cs="Times New Roman"/>
          <w:b/>
          <w:bCs/>
          <w:iCs/>
          <w:sz w:val="24"/>
          <w:szCs w:val="24"/>
          <w:lang w:val="en-GB"/>
        </w:rPr>
        <w:t>Fig.</w:t>
      </w:r>
      <w:r>
        <w:rPr>
          <w:rFonts w:ascii="Times New Roman" w:hAnsi="Times New Roman" w:cs="Times New Roman"/>
          <w:iCs/>
          <w:sz w:val="24"/>
          <w:szCs w:val="24"/>
          <w:lang w:val="en-GB"/>
        </w:rPr>
        <w:t xml:space="preserve"> </w:t>
      </w:r>
      <w:r>
        <w:rPr>
          <w:rFonts w:ascii="Times New Roman" w:hAnsi="Times New Roman" w:cs="Times New Roman"/>
          <w:b/>
          <w:bCs/>
          <w:iCs/>
          <w:sz w:val="24"/>
          <w:szCs w:val="24"/>
          <w:lang w:val="en-GB"/>
        </w:rPr>
        <w:t>S2.</w:t>
      </w:r>
      <w:r>
        <w:rPr>
          <w:rFonts w:ascii="Times New Roman" w:hAnsi="Times New Roman" w:cs="Times New Roman"/>
          <w:iCs/>
          <w:sz w:val="24"/>
          <w:szCs w:val="24"/>
          <w:lang w:val="en-GB"/>
        </w:rPr>
        <w:t xml:space="preserve"> Comparing DT – (a) and WT – (b) of WCPR. Reaction conditions for DT: 5.0 g of WCPR, N</w:t>
      </w:r>
      <w:r>
        <w:rPr>
          <w:rFonts w:ascii="Times New Roman" w:hAnsi="Times New Roman" w:cs="Times New Roman"/>
          <w:iCs/>
          <w:sz w:val="24"/>
          <w:szCs w:val="24"/>
          <w:vertAlign w:val="subscript"/>
          <w:lang w:val="en-GB"/>
        </w:rPr>
        <w:t>2</w:t>
      </w:r>
      <w:r>
        <w:rPr>
          <w:rFonts w:ascii="Times New Roman" w:hAnsi="Times New Roman" w:cs="Times New Roman"/>
          <w:iCs/>
          <w:sz w:val="24"/>
          <w:szCs w:val="24"/>
          <w:lang w:val="en-GB"/>
        </w:rPr>
        <w:t xml:space="preserve"> flow of 200 mL/min, reaction temperature of 260 °C, and a reaction time of 30 min. Reaction conditions for WT: 3.0 g of WCPR, 30 mL of water, stirring speed at 900 rpm, reaction temperature of 260 °C, and a reaction time of 30 min.</w:t>
      </w:r>
    </w:p>
    <w:p>
      <w:pPr>
        <w:spacing w:after="0" w:line="480" w:lineRule="auto"/>
        <w:jc w:val="both"/>
        <w:rPr>
          <w:rFonts w:ascii="Times New Roman" w:hAnsi="Times New Roman" w:cs="Times New Roman"/>
          <w:b/>
          <w:bCs/>
          <w:iCs/>
          <w:sz w:val="24"/>
          <w:szCs w:val="24"/>
          <w:lang w:val="en-GB"/>
        </w:rPr>
      </w:pPr>
    </w:p>
    <w:p>
      <w:pPr>
        <w:spacing w:after="0" w:line="480" w:lineRule="auto"/>
        <w:jc w:val="both"/>
        <w:rPr>
          <w:rFonts w:ascii="Times New Roman" w:hAnsi="Times New Roman" w:cs="Times New Roman"/>
          <w:b/>
          <w:bCs/>
          <w:iCs/>
          <w:sz w:val="24"/>
          <w:szCs w:val="24"/>
          <w:lang w:val="en-GB"/>
        </w:rPr>
        <w:sectPr>
          <w:pgSz w:w="12240" w:h="15840"/>
          <w:pgMar w:top="1440" w:right="1440" w:bottom="1440" w:left="1440" w:header="720" w:footer="720" w:gutter="0"/>
          <w:cols w:space="720"/>
          <w:docGrid w:linePitch="360"/>
        </w:sectPr>
      </w:pPr>
    </w:p>
    <w:p>
      <w:pPr>
        <w:spacing w:after="0" w:line="480" w:lineRule="auto"/>
        <w:jc w:val="both"/>
        <w:rPr>
          <w:rFonts w:ascii="Times New Roman" w:hAnsi="Times New Roman" w:cs="Times New Roman"/>
          <w:iCs/>
          <w:sz w:val="24"/>
          <w:szCs w:val="24"/>
          <w:lang w:val="en-GB"/>
        </w:rPr>
      </w:pPr>
      <w:r>
        <w:rPr>
          <w:rFonts w:ascii="Times New Roman" w:hAnsi="Times New Roman" w:cs="Times New Roman"/>
          <w:b/>
          <w:bCs/>
          <w:iCs/>
          <w:sz w:val="24"/>
          <w:szCs w:val="24"/>
          <w:lang w:val="en-GB"/>
        </w:rPr>
        <w:lastRenderedPageBreak/>
        <w:t>Table S2.</w:t>
      </w:r>
      <w:r>
        <w:rPr>
          <w:rFonts w:ascii="Times New Roman" w:hAnsi="Times New Roman" w:cs="Times New Roman"/>
          <w:iCs/>
          <w:sz w:val="24"/>
          <w:szCs w:val="24"/>
          <w:lang w:val="en-GB"/>
        </w:rPr>
        <w:t xml:space="preserve"> </w:t>
      </w:r>
      <w:bookmarkStart w:id="3" w:name="_Hlk148615611"/>
      <w:r>
        <w:rPr>
          <w:rFonts w:ascii="Times New Roman" w:hAnsi="Times New Roman" w:cs="Times New Roman"/>
          <w:iCs/>
          <w:sz w:val="24"/>
          <w:szCs w:val="24"/>
        </w:rPr>
        <w:t>Proximate and elemental analysis, BET surface area, pore diameter (PD), crystalline index, and crystallite size of the DT of WCPR</w:t>
      </w:r>
      <w:r>
        <w:rPr>
          <w:rFonts w:ascii="Times New Roman" w:hAnsi="Times New Roman" w:cs="Times New Roman"/>
          <w:iCs/>
          <w:sz w:val="24"/>
          <w:szCs w:val="24"/>
          <w:lang w:val="en-GB"/>
        </w:rPr>
        <w:t xml:space="preserve"> samples as compared to the WCPR.</w:t>
      </w:r>
      <w:bookmarkEnd w:id="3"/>
    </w:p>
    <w:tbl>
      <w:tblPr>
        <w:tblStyle w:val="TableGrid"/>
        <w:tblW w:w="0" w:type="auto"/>
        <w:jc w:val="center"/>
        <w:tblLayout w:type="fixed"/>
        <w:tblLook w:val="04A0" w:firstRow="1" w:lastRow="0" w:firstColumn="1" w:lastColumn="0" w:noHBand="0" w:noVBand="1"/>
      </w:tblPr>
      <w:tblGrid>
        <w:gridCol w:w="1550"/>
        <w:gridCol w:w="553"/>
        <w:gridCol w:w="589"/>
        <w:gridCol w:w="994"/>
        <w:gridCol w:w="666"/>
        <w:gridCol w:w="666"/>
        <w:gridCol w:w="566"/>
        <w:gridCol w:w="666"/>
        <w:gridCol w:w="566"/>
        <w:gridCol w:w="566"/>
        <w:gridCol w:w="566"/>
        <w:gridCol w:w="566"/>
        <w:gridCol w:w="1159"/>
        <w:gridCol w:w="644"/>
        <w:gridCol w:w="1353"/>
        <w:gridCol w:w="1290"/>
      </w:tblGrid>
      <w:tr>
        <w:trPr>
          <w:trHeight w:val="554"/>
          <w:jc w:val="center"/>
        </w:trPr>
        <w:tc>
          <w:tcPr>
            <w:tcW w:w="1550" w:type="dxa"/>
            <w:vMerge w:val="restart"/>
            <w:tcBorders>
              <w:top w:val="single" w:sz="4" w:space="0" w:color="auto"/>
              <w:left w:val="nil"/>
              <w:bottom w:val="single" w:sz="4" w:space="0" w:color="auto"/>
              <w:right w:val="nil"/>
            </w:tcBorders>
            <w:vAlign w:val="center"/>
          </w:tcPr>
          <w:p>
            <w:pPr>
              <w:spacing w:line="360" w:lineRule="auto"/>
              <w:jc w:val="center"/>
              <w:rPr>
                <w:rFonts w:ascii="Times New Roman" w:hAnsi="Times New Roman" w:cs="Times New Roman"/>
                <w:b/>
                <w:bCs/>
                <w:sz w:val="20"/>
                <w:szCs w:val="20"/>
                <w:lang w:val="en-GB"/>
              </w:rPr>
            </w:pPr>
            <w:r>
              <w:rPr>
                <w:rFonts w:ascii="Times New Roman" w:hAnsi="Times New Roman" w:cs="Times New Roman"/>
                <w:b/>
                <w:bCs/>
                <w:sz w:val="20"/>
                <w:szCs w:val="20"/>
                <w:lang w:val="en-GB"/>
              </w:rPr>
              <w:t>Samples</w:t>
            </w:r>
          </w:p>
        </w:tc>
        <w:tc>
          <w:tcPr>
            <w:tcW w:w="553" w:type="dxa"/>
            <w:vMerge w:val="restart"/>
            <w:tcBorders>
              <w:top w:val="single" w:sz="4" w:space="0" w:color="auto"/>
              <w:left w:val="nil"/>
              <w:bottom w:val="single" w:sz="4" w:space="0" w:color="auto"/>
              <w:right w:val="nil"/>
            </w:tcBorders>
            <w:vAlign w:val="center"/>
          </w:tcPr>
          <w:p>
            <w:pPr>
              <w:spacing w:line="360" w:lineRule="auto"/>
              <w:jc w:val="center"/>
              <w:rPr>
                <w:rFonts w:ascii="Times New Roman" w:hAnsi="Times New Roman" w:cs="Times New Roman"/>
                <w:b/>
                <w:bCs/>
                <w:sz w:val="20"/>
                <w:szCs w:val="20"/>
                <w:lang w:val="en-GB"/>
              </w:rPr>
            </w:pPr>
            <w:r>
              <w:rPr>
                <w:rFonts w:ascii="Times New Roman" w:hAnsi="Times New Roman" w:cs="Times New Roman"/>
                <w:b/>
                <w:bCs/>
                <w:sz w:val="20"/>
                <w:szCs w:val="20"/>
                <w:lang w:val="en-GB"/>
              </w:rPr>
              <w:t>T, °C</w:t>
            </w:r>
          </w:p>
        </w:tc>
        <w:tc>
          <w:tcPr>
            <w:tcW w:w="589" w:type="dxa"/>
            <w:vMerge w:val="restart"/>
            <w:tcBorders>
              <w:top w:val="single" w:sz="4" w:space="0" w:color="auto"/>
              <w:left w:val="nil"/>
              <w:bottom w:val="single" w:sz="4" w:space="0" w:color="auto"/>
              <w:right w:val="nil"/>
            </w:tcBorders>
            <w:vAlign w:val="center"/>
          </w:tcPr>
          <w:p>
            <w:pPr>
              <w:spacing w:line="360" w:lineRule="auto"/>
              <w:jc w:val="center"/>
              <w:rPr>
                <w:rFonts w:ascii="Times New Roman" w:hAnsi="Times New Roman" w:cs="Times New Roman"/>
                <w:b/>
                <w:bCs/>
                <w:sz w:val="20"/>
                <w:szCs w:val="20"/>
                <w:lang w:val="en-GB"/>
              </w:rPr>
            </w:pPr>
            <w:r>
              <w:rPr>
                <w:rFonts w:ascii="Times New Roman" w:hAnsi="Times New Roman" w:cs="Times New Roman"/>
                <w:b/>
                <w:bCs/>
                <w:sz w:val="20"/>
                <w:szCs w:val="20"/>
                <w:lang w:val="en-GB"/>
              </w:rPr>
              <w:t>t, min</w:t>
            </w:r>
          </w:p>
        </w:tc>
        <w:tc>
          <w:tcPr>
            <w:tcW w:w="2892" w:type="dxa"/>
            <w:gridSpan w:val="4"/>
            <w:tcBorders>
              <w:top w:val="single" w:sz="4" w:space="0" w:color="auto"/>
              <w:left w:val="nil"/>
              <w:bottom w:val="single" w:sz="4" w:space="0" w:color="auto"/>
              <w:right w:val="nil"/>
            </w:tcBorders>
            <w:vAlign w:val="center"/>
          </w:tcPr>
          <w:p>
            <w:pPr>
              <w:spacing w:line="360" w:lineRule="auto"/>
              <w:jc w:val="center"/>
              <w:rPr>
                <w:rFonts w:ascii="Times New Roman" w:hAnsi="Times New Roman" w:cs="Times New Roman"/>
                <w:b/>
                <w:bCs/>
                <w:sz w:val="20"/>
                <w:szCs w:val="20"/>
                <w:lang w:val="en-GB"/>
              </w:rPr>
            </w:pPr>
            <w:r>
              <w:rPr>
                <w:rFonts w:ascii="Times New Roman" w:hAnsi="Times New Roman" w:cs="Times New Roman"/>
                <w:b/>
                <w:bCs/>
                <w:sz w:val="20"/>
                <w:szCs w:val="20"/>
                <w:lang w:val="en-GB"/>
              </w:rPr>
              <w:t>Proximate analysis</w:t>
            </w:r>
          </w:p>
          <w:p>
            <w:pPr>
              <w:spacing w:line="360" w:lineRule="auto"/>
              <w:jc w:val="center"/>
              <w:rPr>
                <w:rFonts w:ascii="Times New Roman" w:hAnsi="Times New Roman" w:cs="Times New Roman"/>
                <w:b/>
                <w:bCs/>
                <w:sz w:val="20"/>
                <w:szCs w:val="20"/>
                <w:lang w:val="en-GB"/>
              </w:rPr>
            </w:pPr>
            <w:r>
              <w:rPr>
                <w:rFonts w:ascii="Times New Roman" w:hAnsi="Times New Roman" w:cs="Times New Roman"/>
                <w:b/>
                <w:bCs/>
                <w:sz w:val="20"/>
                <w:szCs w:val="20"/>
                <w:lang w:val="en-GB"/>
              </w:rPr>
              <w:t>(</w:t>
            </w:r>
            <w:proofErr w:type="spellStart"/>
            <w:r>
              <w:rPr>
                <w:rFonts w:ascii="Times New Roman" w:hAnsi="Times New Roman" w:cs="Times New Roman"/>
                <w:b/>
                <w:bCs/>
                <w:sz w:val="20"/>
                <w:szCs w:val="20"/>
                <w:lang w:val="en-GB"/>
              </w:rPr>
              <w:t>wt</w:t>
            </w:r>
            <w:proofErr w:type="spellEnd"/>
            <w:r>
              <w:rPr>
                <w:rFonts w:ascii="Times New Roman" w:hAnsi="Times New Roman" w:cs="Times New Roman"/>
                <w:b/>
                <w:bCs/>
                <w:sz w:val="20"/>
                <w:szCs w:val="20"/>
                <w:lang w:val="en-GB"/>
              </w:rPr>
              <w:t>%)</w:t>
            </w:r>
          </w:p>
        </w:tc>
        <w:tc>
          <w:tcPr>
            <w:tcW w:w="2930" w:type="dxa"/>
            <w:gridSpan w:val="5"/>
            <w:tcBorders>
              <w:top w:val="single" w:sz="4" w:space="0" w:color="auto"/>
              <w:left w:val="nil"/>
              <w:bottom w:val="single" w:sz="4" w:space="0" w:color="auto"/>
              <w:right w:val="nil"/>
            </w:tcBorders>
            <w:vAlign w:val="center"/>
          </w:tcPr>
          <w:p>
            <w:pPr>
              <w:spacing w:line="360" w:lineRule="auto"/>
              <w:jc w:val="center"/>
              <w:rPr>
                <w:rFonts w:ascii="Times New Roman" w:hAnsi="Times New Roman" w:cs="Times New Roman"/>
                <w:b/>
                <w:bCs/>
                <w:sz w:val="20"/>
                <w:szCs w:val="20"/>
                <w:lang w:val="en-GB"/>
              </w:rPr>
            </w:pPr>
            <w:r>
              <w:rPr>
                <w:rFonts w:ascii="Times New Roman" w:hAnsi="Times New Roman" w:cs="Times New Roman"/>
                <w:b/>
                <w:bCs/>
                <w:sz w:val="20"/>
                <w:szCs w:val="20"/>
                <w:lang w:val="en-GB"/>
              </w:rPr>
              <w:t>Elemental analysis (</w:t>
            </w:r>
            <w:proofErr w:type="spellStart"/>
            <w:r>
              <w:rPr>
                <w:rFonts w:ascii="Times New Roman" w:hAnsi="Times New Roman" w:cs="Times New Roman"/>
                <w:b/>
                <w:bCs/>
                <w:sz w:val="20"/>
                <w:szCs w:val="20"/>
                <w:lang w:val="en-GB"/>
              </w:rPr>
              <w:t>wt</w:t>
            </w:r>
            <w:proofErr w:type="spellEnd"/>
            <w:r>
              <w:rPr>
                <w:rFonts w:ascii="Times New Roman" w:hAnsi="Times New Roman" w:cs="Times New Roman"/>
                <w:b/>
                <w:bCs/>
                <w:sz w:val="20"/>
                <w:szCs w:val="20"/>
                <w:lang w:val="en-GB"/>
              </w:rPr>
              <w:t>%)</w:t>
            </w:r>
          </w:p>
        </w:tc>
        <w:tc>
          <w:tcPr>
            <w:tcW w:w="1159" w:type="dxa"/>
            <w:vMerge w:val="restart"/>
            <w:tcBorders>
              <w:top w:val="single" w:sz="4" w:space="0" w:color="auto"/>
              <w:left w:val="nil"/>
              <w:bottom w:val="single" w:sz="4" w:space="0" w:color="auto"/>
              <w:right w:val="nil"/>
            </w:tcBorders>
            <w:vAlign w:val="center"/>
          </w:tcPr>
          <w:p>
            <w:pPr>
              <w:spacing w:line="360" w:lineRule="auto"/>
              <w:jc w:val="center"/>
              <w:rPr>
                <w:rFonts w:ascii="Times New Roman" w:hAnsi="Times New Roman" w:cs="Times New Roman"/>
                <w:b/>
                <w:bCs/>
                <w:sz w:val="20"/>
                <w:szCs w:val="20"/>
                <w:lang w:val="en-GB"/>
              </w:rPr>
            </w:pPr>
            <w:r>
              <w:rPr>
                <w:rFonts w:ascii="Times New Roman" w:hAnsi="Times New Roman" w:cs="Times New Roman"/>
                <w:b/>
                <w:bCs/>
                <w:sz w:val="20"/>
                <w:szCs w:val="20"/>
                <w:lang w:val="en-GB"/>
              </w:rPr>
              <w:t>BET surface area, m</w:t>
            </w:r>
            <w:r>
              <w:rPr>
                <w:rFonts w:ascii="Times New Roman" w:hAnsi="Times New Roman" w:cs="Times New Roman"/>
                <w:b/>
                <w:bCs/>
                <w:sz w:val="20"/>
                <w:szCs w:val="20"/>
                <w:vertAlign w:val="superscript"/>
                <w:lang w:val="en-GB"/>
              </w:rPr>
              <w:t>2</w:t>
            </w:r>
            <w:r>
              <w:rPr>
                <w:rFonts w:ascii="Times New Roman" w:hAnsi="Times New Roman" w:cs="Times New Roman"/>
                <w:b/>
                <w:bCs/>
                <w:sz w:val="20"/>
                <w:szCs w:val="20"/>
                <w:lang w:val="en-GB"/>
              </w:rPr>
              <w:t>/g</w:t>
            </w:r>
          </w:p>
        </w:tc>
        <w:tc>
          <w:tcPr>
            <w:tcW w:w="644" w:type="dxa"/>
            <w:vMerge w:val="restart"/>
            <w:tcBorders>
              <w:top w:val="single" w:sz="4" w:space="0" w:color="auto"/>
              <w:left w:val="nil"/>
              <w:bottom w:val="single" w:sz="4" w:space="0" w:color="auto"/>
              <w:right w:val="nil"/>
            </w:tcBorders>
            <w:vAlign w:val="center"/>
          </w:tcPr>
          <w:p>
            <w:pPr>
              <w:spacing w:line="360" w:lineRule="auto"/>
              <w:jc w:val="center"/>
              <w:rPr>
                <w:rFonts w:ascii="Times New Roman" w:hAnsi="Times New Roman" w:cs="Times New Roman"/>
                <w:b/>
                <w:bCs/>
                <w:sz w:val="20"/>
                <w:szCs w:val="20"/>
                <w:vertAlign w:val="superscript"/>
                <w:lang w:val="en-GB"/>
              </w:rPr>
            </w:pPr>
            <w:r>
              <w:rPr>
                <w:rFonts w:ascii="Times New Roman" w:hAnsi="Times New Roman" w:cs="Times New Roman"/>
                <w:b/>
                <w:bCs/>
                <w:sz w:val="20"/>
                <w:szCs w:val="20"/>
                <w:lang w:val="en-GB"/>
              </w:rPr>
              <w:t>PD</w:t>
            </w:r>
            <w:r>
              <w:rPr>
                <w:rFonts w:ascii="Times New Roman" w:hAnsi="Times New Roman" w:cs="Times New Roman"/>
                <w:b/>
                <w:bCs/>
                <w:sz w:val="20"/>
                <w:szCs w:val="20"/>
                <w:vertAlign w:val="superscript"/>
                <w:lang w:val="en-GB"/>
              </w:rPr>
              <w:t>3</w:t>
            </w:r>
            <w:r>
              <w:rPr>
                <w:rFonts w:ascii="Times New Roman" w:hAnsi="Times New Roman" w:cs="Times New Roman"/>
                <w:b/>
                <w:bCs/>
                <w:sz w:val="20"/>
                <w:szCs w:val="20"/>
                <w:lang w:val="en-GB"/>
              </w:rPr>
              <w:t>, Å</w:t>
            </w:r>
          </w:p>
        </w:tc>
        <w:tc>
          <w:tcPr>
            <w:tcW w:w="1353" w:type="dxa"/>
            <w:vMerge w:val="restart"/>
            <w:tcBorders>
              <w:top w:val="single" w:sz="4" w:space="0" w:color="auto"/>
              <w:left w:val="nil"/>
              <w:bottom w:val="single" w:sz="4" w:space="0" w:color="auto"/>
              <w:right w:val="nil"/>
            </w:tcBorders>
            <w:vAlign w:val="center"/>
          </w:tcPr>
          <w:p>
            <w:pPr>
              <w:spacing w:line="360" w:lineRule="auto"/>
              <w:jc w:val="center"/>
              <w:rPr>
                <w:rFonts w:ascii="Times New Roman" w:hAnsi="Times New Roman" w:cs="Times New Roman"/>
                <w:b/>
                <w:bCs/>
                <w:sz w:val="20"/>
                <w:szCs w:val="20"/>
                <w:lang w:val="en-GB"/>
              </w:rPr>
            </w:pPr>
            <w:r>
              <w:rPr>
                <w:rFonts w:ascii="Times New Roman" w:hAnsi="Times New Roman" w:cs="Times New Roman"/>
                <w:b/>
                <w:bCs/>
                <w:sz w:val="20"/>
                <w:szCs w:val="20"/>
                <w:lang w:val="en-GB"/>
              </w:rPr>
              <w:t>Crystalline index, %</w:t>
            </w:r>
          </w:p>
        </w:tc>
        <w:tc>
          <w:tcPr>
            <w:tcW w:w="1290" w:type="dxa"/>
            <w:vMerge w:val="restart"/>
            <w:tcBorders>
              <w:top w:val="single" w:sz="4" w:space="0" w:color="auto"/>
              <w:left w:val="nil"/>
              <w:bottom w:val="single" w:sz="4" w:space="0" w:color="auto"/>
              <w:right w:val="nil"/>
            </w:tcBorders>
            <w:vAlign w:val="center"/>
          </w:tcPr>
          <w:p>
            <w:pPr>
              <w:spacing w:line="360" w:lineRule="auto"/>
              <w:jc w:val="center"/>
              <w:rPr>
                <w:rFonts w:ascii="Times New Roman" w:hAnsi="Times New Roman" w:cs="Times New Roman"/>
                <w:b/>
                <w:bCs/>
                <w:sz w:val="20"/>
                <w:szCs w:val="20"/>
                <w:lang w:val="en-GB"/>
              </w:rPr>
            </w:pPr>
            <w:r>
              <w:rPr>
                <w:rFonts w:ascii="Times New Roman" w:hAnsi="Times New Roman" w:cs="Times New Roman"/>
                <w:b/>
                <w:bCs/>
                <w:sz w:val="20"/>
                <w:szCs w:val="20"/>
                <w:lang w:val="en-GB"/>
              </w:rPr>
              <w:t>Crystallite size, nm</w:t>
            </w:r>
          </w:p>
        </w:tc>
      </w:tr>
      <w:tr>
        <w:trPr>
          <w:trHeight w:val="372"/>
          <w:jc w:val="center"/>
        </w:trPr>
        <w:tc>
          <w:tcPr>
            <w:tcW w:w="1550" w:type="dxa"/>
            <w:vMerge/>
            <w:tcBorders>
              <w:top w:val="nil"/>
              <w:left w:val="nil"/>
              <w:bottom w:val="single" w:sz="4" w:space="0" w:color="auto"/>
              <w:right w:val="nil"/>
            </w:tcBorders>
            <w:vAlign w:val="center"/>
          </w:tcPr>
          <w:p>
            <w:pPr>
              <w:spacing w:line="360" w:lineRule="auto"/>
              <w:jc w:val="center"/>
              <w:rPr>
                <w:rFonts w:ascii="Times New Roman" w:hAnsi="Times New Roman" w:cs="Times New Roman"/>
                <w:sz w:val="20"/>
                <w:szCs w:val="20"/>
                <w:lang w:val="en-GB"/>
              </w:rPr>
            </w:pPr>
          </w:p>
        </w:tc>
        <w:tc>
          <w:tcPr>
            <w:tcW w:w="553" w:type="dxa"/>
            <w:vMerge/>
            <w:tcBorders>
              <w:top w:val="nil"/>
              <w:left w:val="nil"/>
              <w:bottom w:val="single" w:sz="4" w:space="0" w:color="auto"/>
              <w:right w:val="nil"/>
            </w:tcBorders>
            <w:vAlign w:val="center"/>
          </w:tcPr>
          <w:p>
            <w:pPr>
              <w:spacing w:line="360" w:lineRule="auto"/>
              <w:jc w:val="center"/>
              <w:rPr>
                <w:rFonts w:ascii="Times New Roman" w:hAnsi="Times New Roman" w:cs="Times New Roman"/>
                <w:sz w:val="20"/>
                <w:szCs w:val="20"/>
                <w:lang w:val="en-GB"/>
              </w:rPr>
            </w:pPr>
          </w:p>
        </w:tc>
        <w:tc>
          <w:tcPr>
            <w:tcW w:w="589" w:type="dxa"/>
            <w:vMerge/>
            <w:tcBorders>
              <w:top w:val="nil"/>
              <w:left w:val="nil"/>
              <w:bottom w:val="single" w:sz="4" w:space="0" w:color="auto"/>
              <w:right w:val="nil"/>
            </w:tcBorders>
            <w:vAlign w:val="center"/>
          </w:tcPr>
          <w:p>
            <w:pPr>
              <w:spacing w:line="360" w:lineRule="auto"/>
              <w:jc w:val="center"/>
              <w:rPr>
                <w:rFonts w:ascii="Times New Roman" w:hAnsi="Times New Roman" w:cs="Times New Roman"/>
                <w:sz w:val="20"/>
                <w:szCs w:val="20"/>
                <w:lang w:val="en-GB"/>
              </w:rPr>
            </w:pPr>
          </w:p>
        </w:tc>
        <w:tc>
          <w:tcPr>
            <w:tcW w:w="994" w:type="dxa"/>
            <w:tcBorders>
              <w:top w:val="single" w:sz="4" w:space="0" w:color="auto"/>
              <w:left w:val="nil"/>
              <w:bottom w:val="single" w:sz="4" w:space="0" w:color="auto"/>
              <w:right w:val="nil"/>
            </w:tcBorders>
            <w:vAlign w:val="center"/>
          </w:tcPr>
          <w:p>
            <w:pPr>
              <w:spacing w:line="360" w:lineRule="auto"/>
              <w:jc w:val="center"/>
              <w:rPr>
                <w:rFonts w:ascii="Times New Roman" w:hAnsi="Times New Roman" w:cs="Times New Roman"/>
                <w:b/>
                <w:bCs/>
                <w:sz w:val="20"/>
                <w:szCs w:val="20"/>
                <w:lang w:val="en-GB"/>
              </w:rPr>
            </w:pPr>
            <w:r>
              <w:rPr>
                <w:rFonts w:ascii="Times New Roman" w:hAnsi="Times New Roman" w:cs="Times New Roman"/>
                <w:b/>
                <w:bCs/>
                <w:sz w:val="20"/>
                <w:szCs w:val="20"/>
                <w:lang w:val="en-GB"/>
              </w:rPr>
              <w:t>Moisture</w:t>
            </w:r>
          </w:p>
        </w:tc>
        <w:tc>
          <w:tcPr>
            <w:tcW w:w="666" w:type="dxa"/>
            <w:tcBorders>
              <w:top w:val="single" w:sz="4" w:space="0" w:color="auto"/>
              <w:left w:val="nil"/>
              <w:bottom w:val="single" w:sz="4" w:space="0" w:color="auto"/>
              <w:right w:val="nil"/>
            </w:tcBorders>
            <w:vAlign w:val="center"/>
          </w:tcPr>
          <w:p>
            <w:pPr>
              <w:spacing w:line="360" w:lineRule="auto"/>
              <w:jc w:val="center"/>
              <w:rPr>
                <w:rFonts w:ascii="Times New Roman" w:hAnsi="Times New Roman" w:cs="Times New Roman"/>
                <w:b/>
                <w:bCs/>
                <w:sz w:val="20"/>
                <w:szCs w:val="20"/>
                <w:vertAlign w:val="superscript"/>
                <w:lang w:val="en-GB"/>
              </w:rPr>
            </w:pPr>
            <w:r>
              <w:rPr>
                <w:rFonts w:ascii="Times New Roman" w:hAnsi="Times New Roman" w:cs="Times New Roman"/>
                <w:b/>
                <w:bCs/>
                <w:sz w:val="20"/>
                <w:szCs w:val="20"/>
                <w:lang w:val="en-GB"/>
              </w:rPr>
              <w:t>VM</w:t>
            </w:r>
            <w:r>
              <w:rPr>
                <w:rFonts w:ascii="Times New Roman" w:hAnsi="Times New Roman" w:cs="Times New Roman"/>
                <w:b/>
                <w:bCs/>
                <w:sz w:val="20"/>
                <w:szCs w:val="20"/>
                <w:vertAlign w:val="superscript"/>
                <w:lang w:val="en-GB"/>
              </w:rPr>
              <w:t>1</w:t>
            </w:r>
          </w:p>
        </w:tc>
        <w:tc>
          <w:tcPr>
            <w:tcW w:w="666" w:type="dxa"/>
            <w:tcBorders>
              <w:top w:val="single" w:sz="4" w:space="0" w:color="auto"/>
              <w:left w:val="nil"/>
              <w:bottom w:val="single" w:sz="4" w:space="0" w:color="auto"/>
              <w:right w:val="nil"/>
            </w:tcBorders>
            <w:vAlign w:val="center"/>
          </w:tcPr>
          <w:p>
            <w:pPr>
              <w:spacing w:line="360" w:lineRule="auto"/>
              <w:jc w:val="center"/>
              <w:rPr>
                <w:rFonts w:ascii="Times New Roman" w:hAnsi="Times New Roman" w:cs="Times New Roman"/>
                <w:b/>
                <w:bCs/>
                <w:sz w:val="20"/>
                <w:szCs w:val="20"/>
                <w:vertAlign w:val="superscript"/>
                <w:lang w:val="en-GB"/>
              </w:rPr>
            </w:pPr>
            <w:r>
              <w:rPr>
                <w:rFonts w:ascii="Times New Roman" w:hAnsi="Times New Roman" w:cs="Times New Roman"/>
                <w:b/>
                <w:bCs/>
                <w:sz w:val="20"/>
                <w:szCs w:val="20"/>
                <w:lang w:val="en-GB"/>
              </w:rPr>
              <w:t>FC</w:t>
            </w:r>
            <w:r>
              <w:rPr>
                <w:rFonts w:ascii="Times New Roman" w:hAnsi="Times New Roman" w:cs="Times New Roman"/>
                <w:b/>
                <w:bCs/>
                <w:sz w:val="20"/>
                <w:szCs w:val="20"/>
                <w:vertAlign w:val="superscript"/>
                <w:lang w:val="en-GB"/>
              </w:rPr>
              <w:t>2</w:t>
            </w:r>
          </w:p>
        </w:tc>
        <w:tc>
          <w:tcPr>
            <w:tcW w:w="566" w:type="dxa"/>
            <w:tcBorders>
              <w:top w:val="single" w:sz="4" w:space="0" w:color="auto"/>
              <w:left w:val="nil"/>
              <w:bottom w:val="single" w:sz="4" w:space="0" w:color="auto"/>
              <w:right w:val="nil"/>
            </w:tcBorders>
            <w:vAlign w:val="center"/>
          </w:tcPr>
          <w:p>
            <w:pPr>
              <w:spacing w:line="360" w:lineRule="auto"/>
              <w:jc w:val="center"/>
              <w:rPr>
                <w:rFonts w:ascii="Times New Roman" w:hAnsi="Times New Roman" w:cs="Times New Roman"/>
                <w:b/>
                <w:bCs/>
                <w:sz w:val="20"/>
                <w:szCs w:val="20"/>
                <w:lang w:val="en-GB"/>
              </w:rPr>
            </w:pPr>
            <w:r>
              <w:rPr>
                <w:rFonts w:ascii="Times New Roman" w:hAnsi="Times New Roman" w:cs="Times New Roman"/>
                <w:b/>
                <w:bCs/>
                <w:sz w:val="20"/>
                <w:szCs w:val="20"/>
                <w:lang w:val="en-GB"/>
              </w:rPr>
              <w:t>Ash</w:t>
            </w:r>
          </w:p>
        </w:tc>
        <w:tc>
          <w:tcPr>
            <w:tcW w:w="666" w:type="dxa"/>
            <w:tcBorders>
              <w:top w:val="single" w:sz="4" w:space="0" w:color="auto"/>
              <w:left w:val="nil"/>
              <w:bottom w:val="single" w:sz="4" w:space="0" w:color="auto"/>
              <w:right w:val="nil"/>
            </w:tcBorders>
            <w:vAlign w:val="center"/>
          </w:tcPr>
          <w:p>
            <w:pPr>
              <w:spacing w:line="360" w:lineRule="auto"/>
              <w:jc w:val="center"/>
              <w:rPr>
                <w:rFonts w:ascii="Times New Roman" w:hAnsi="Times New Roman" w:cs="Times New Roman"/>
                <w:b/>
                <w:bCs/>
                <w:sz w:val="20"/>
                <w:szCs w:val="20"/>
                <w:lang w:val="en-GB"/>
              </w:rPr>
            </w:pPr>
            <w:r>
              <w:rPr>
                <w:rFonts w:ascii="Times New Roman" w:hAnsi="Times New Roman" w:cs="Times New Roman"/>
                <w:b/>
                <w:bCs/>
                <w:sz w:val="20"/>
                <w:szCs w:val="20"/>
                <w:lang w:val="en-GB"/>
              </w:rPr>
              <w:t>C</w:t>
            </w:r>
          </w:p>
        </w:tc>
        <w:tc>
          <w:tcPr>
            <w:tcW w:w="566" w:type="dxa"/>
            <w:tcBorders>
              <w:top w:val="single" w:sz="4" w:space="0" w:color="auto"/>
              <w:left w:val="nil"/>
              <w:bottom w:val="single" w:sz="4" w:space="0" w:color="auto"/>
              <w:right w:val="nil"/>
            </w:tcBorders>
            <w:vAlign w:val="center"/>
          </w:tcPr>
          <w:p>
            <w:pPr>
              <w:spacing w:line="360" w:lineRule="auto"/>
              <w:jc w:val="center"/>
              <w:rPr>
                <w:rFonts w:ascii="Times New Roman" w:hAnsi="Times New Roman" w:cs="Times New Roman"/>
                <w:b/>
                <w:bCs/>
                <w:sz w:val="20"/>
                <w:szCs w:val="20"/>
                <w:lang w:val="en-GB"/>
              </w:rPr>
            </w:pPr>
            <w:r>
              <w:rPr>
                <w:rFonts w:ascii="Times New Roman" w:hAnsi="Times New Roman" w:cs="Times New Roman"/>
                <w:b/>
                <w:bCs/>
                <w:sz w:val="20"/>
                <w:szCs w:val="20"/>
                <w:lang w:val="en-GB"/>
              </w:rPr>
              <w:t>H</w:t>
            </w:r>
          </w:p>
        </w:tc>
        <w:tc>
          <w:tcPr>
            <w:tcW w:w="566" w:type="dxa"/>
            <w:tcBorders>
              <w:top w:val="single" w:sz="4" w:space="0" w:color="auto"/>
              <w:left w:val="nil"/>
              <w:bottom w:val="single" w:sz="4" w:space="0" w:color="auto"/>
              <w:right w:val="nil"/>
            </w:tcBorders>
            <w:vAlign w:val="center"/>
          </w:tcPr>
          <w:p>
            <w:pPr>
              <w:spacing w:line="360" w:lineRule="auto"/>
              <w:jc w:val="center"/>
              <w:rPr>
                <w:rFonts w:ascii="Times New Roman" w:hAnsi="Times New Roman" w:cs="Times New Roman"/>
                <w:b/>
                <w:bCs/>
                <w:sz w:val="20"/>
                <w:szCs w:val="20"/>
                <w:lang w:val="en-GB"/>
              </w:rPr>
            </w:pPr>
            <w:r>
              <w:rPr>
                <w:rFonts w:ascii="Times New Roman" w:hAnsi="Times New Roman" w:cs="Times New Roman"/>
                <w:b/>
                <w:bCs/>
                <w:sz w:val="20"/>
                <w:szCs w:val="20"/>
                <w:lang w:val="en-GB"/>
              </w:rPr>
              <w:t>O</w:t>
            </w:r>
          </w:p>
        </w:tc>
        <w:tc>
          <w:tcPr>
            <w:tcW w:w="566" w:type="dxa"/>
            <w:tcBorders>
              <w:top w:val="single" w:sz="4" w:space="0" w:color="auto"/>
              <w:left w:val="nil"/>
              <w:bottom w:val="single" w:sz="4" w:space="0" w:color="auto"/>
              <w:right w:val="nil"/>
            </w:tcBorders>
            <w:vAlign w:val="center"/>
          </w:tcPr>
          <w:p>
            <w:pPr>
              <w:spacing w:line="360" w:lineRule="auto"/>
              <w:jc w:val="center"/>
              <w:rPr>
                <w:rFonts w:ascii="Times New Roman" w:hAnsi="Times New Roman" w:cs="Times New Roman"/>
                <w:b/>
                <w:bCs/>
                <w:sz w:val="20"/>
                <w:szCs w:val="20"/>
                <w:lang w:val="en-GB"/>
              </w:rPr>
            </w:pPr>
            <w:r>
              <w:rPr>
                <w:rFonts w:ascii="Times New Roman" w:hAnsi="Times New Roman" w:cs="Times New Roman"/>
                <w:b/>
                <w:bCs/>
                <w:sz w:val="20"/>
                <w:szCs w:val="20"/>
                <w:lang w:val="en-GB"/>
              </w:rPr>
              <w:t>N</w:t>
            </w:r>
          </w:p>
        </w:tc>
        <w:tc>
          <w:tcPr>
            <w:tcW w:w="566" w:type="dxa"/>
            <w:tcBorders>
              <w:top w:val="single" w:sz="4" w:space="0" w:color="auto"/>
              <w:left w:val="nil"/>
              <w:bottom w:val="single" w:sz="4" w:space="0" w:color="auto"/>
              <w:right w:val="nil"/>
            </w:tcBorders>
            <w:vAlign w:val="center"/>
          </w:tcPr>
          <w:p>
            <w:pPr>
              <w:spacing w:line="360" w:lineRule="auto"/>
              <w:jc w:val="center"/>
              <w:rPr>
                <w:rFonts w:ascii="Times New Roman" w:hAnsi="Times New Roman" w:cs="Times New Roman"/>
                <w:b/>
                <w:bCs/>
                <w:sz w:val="20"/>
                <w:szCs w:val="20"/>
                <w:lang w:val="en-GB"/>
              </w:rPr>
            </w:pPr>
            <w:r>
              <w:rPr>
                <w:rFonts w:ascii="Times New Roman" w:hAnsi="Times New Roman" w:cs="Times New Roman"/>
                <w:b/>
                <w:bCs/>
                <w:sz w:val="20"/>
                <w:szCs w:val="20"/>
                <w:lang w:val="en-GB"/>
              </w:rPr>
              <w:t>S</w:t>
            </w:r>
          </w:p>
        </w:tc>
        <w:tc>
          <w:tcPr>
            <w:tcW w:w="1159" w:type="dxa"/>
            <w:vMerge/>
            <w:tcBorders>
              <w:top w:val="nil"/>
              <w:left w:val="nil"/>
              <w:bottom w:val="single" w:sz="4" w:space="0" w:color="auto"/>
              <w:right w:val="nil"/>
            </w:tcBorders>
            <w:vAlign w:val="center"/>
          </w:tcPr>
          <w:p>
            <w:pPr>
              <w:spacing w:line="360" w:lineRule="auto"/>
              <w:jc w:val="center"/>
              <w:rPr>
                <w:rFonts w:ascii="Times New Roman" w:hAnsi="Times New Roman" w:cs="Times New Roman"/>
                <w:sz w:val="20"/>
                <w:szCs w:val="20"/>
                <w:lang w:val="en-GB"/>
              </w:rPr>
            </w:pPr>
          </w:p>
        </w:tc>
        <w:tc>
          <w:tcPr>
            <w:tcW w:w="644" w:type="dxa"/>
            <w:vMerge/>
            <w:tcBorders>
              <w:top w:val="nil"/>
              <w:left w:val="nil"/>
              <w:bottom w:val="single" w:sz="4" w:space="0" w:color="auto"/>
              <w:right w:val="nil"/>
            </w:tcBorders>
            <w:vAlign w:val="center"/>
          </w:tcPr>
          <w:p>
            <w:pPr>
              <w:spacing w:line="360" w:lineRule="auto"/>
              <w:jc w:val="center"/>
              <w:rPr>
                <w:rFonts w:ascii="Times New Roman" w:hAnsi="Times New Roman" w:cs="Times New Roman"/>
                <w:sz w:val="20"/>
                <w:szCs w:val="20"/>
                <w:lang w:val="en-GB"/>
              </w:rPr>
            </w:pPr>
          </w:p>
        </w:tc>
        <w:tc>
          <w:tcPr>
            <w:tcW w:w="1353" w:type="dxa"/>
            <w:vMerge/>
            <w:tcBorders>
              <w:top w:val="nil"/>
              <w:left w:val="nil"/>
              <w:bottom w:val="single" w:sz="4" w:space="0" w:color="auto"/>
              <w:right w:val="nil"/>
            </w:tcBorders>
            <w:vAlign w:val="center"/>
          </w:tcPr>
          <w:p>
            <w:pPr>
              <w:spacing w:line="360" w:lineRule="auto"/>
              <w:jc w:val="center"/>
              <w:rPr>
                <w:rFonts w:ascii="Times New Roman" w:hAnsi="Times New Roman" w:cs="Times New Roman"/>
                <w:sz w:val="20"/>
                <w:szCs w:val="20"/>
                <w:lang w:val="en-GB"/>
              </w:rPr>
            </w:pPr>
          </w:p>
        </w:tc>
        <w:tc>
          <w:tcPr>
            <w:tcW w:w="1290" w:type="dxa"/>
            <w:vMerge/>
            <w:tcBorders>
              <w:top w:val="nil"/>
              <w:left w:val="nil"/>
              <w:bottom w:val="single" w:sz="4" w:space="0" w:color="auto"/>
              <w:right w:val="nil"/>
            </w:tcBorders>
            <w:vAlign w:val="center"/>
          </w:tcPr>
          <w:p>
            <w:pPr>
              <w:spacing w:line="360" w:lineRule="auto"/>
              <w:jc w:val="center"/>
              <w:rPr>
                <w:rFonts w:ascii="Times New Roman" w:hAnsi="Times New Roman" w:cs="Times New Roman"/>
                <w:sz w:val="20"/>
                <w:szCs w:val="20"/>
                <w:lang w:val="en-GB"/>
              </w:rPr>
            </w:pPr>
          </w:p>
        </w:tc>
      </w:tr>
      <w:tr>
        <w:trPr>
          <w:jc w:val="center"/>
        </w:trPr>
        <w:tc>
          <w:tcPr>
            <w:tcW w:w="1550" w:type="dxa"/>
            <w:tcBorders>
              <w:top w:val="single" w:sz="4" w:space="0" w:color="auto"/>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WCPR</w:t>
            </w:r>
          </w:p>
        </w:tc>
        <w:tc>
          <w:tcPr>
            <w:tcW w:w="553" w:type="dxa"/>
            <w:tcBorders>
              <w:top w:val="single" w:sz="4" w:space="0" w:color="auto"/>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w:t>
            </w:r>
          </w:p>
        </w:tc>
        <w:tc>
          <w:tcPr>
            <w:tcW w:w="589" w:type="dxa"/>
            <w:tcBorders>
              <w:top w:val="single" w:sz="4" w:space="0" w:color="auto"/>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w:t>
            </w:r>
          </w:p>
        </w:tc>
        <w:tc>
          <w:tcPr>
            <w:tcW w:w="994" w:type="dxa"/>
            <w:tcBorders>
              <w:top w:val="single" w:sz="4" w:space="0" w:color="auto"/>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rPr>
              <w:t>3.91</w:t>
            </w:r>
          </w:p>
        </w:tc>
        <w:tc>
          <w:tcPr>
            <w:tcW w:w="666" w:type="dxa"/>
            <w:tcBorders>
              <w:top w:val="single" w:sz="4" w:space="0" w:color="auto"/>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78.72</w:t>
            </w:r>
          </w:p>
        </w:tc>
        <w:tc>
          <w:tcPr>
            <w:tcW w:w="666" w:type="dxa"/>
            <w:tcBorders>
              <w:top w:val="single" w:sz="4" w:space="0" w:color="auto"/>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15.91</w:t>
            </w:r>
          </w:p>
        </w:tc>
        <w:tc>
          <w:tcPr>
            <w:tcW w:w="566" w:type="dxa"/>
            <w:tcBorders>
              <w:top w:val="single" w:sz="4" w:space="0" w:color="auto"/>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1.46</w:t>
            </w:r>
          </w:p>
        </w:tc>
        <w:tc>
          <w:tcPr>
            <w:tcW w:w="666" w:type="dxa"/>
            <w:tcBorders>
              <w:top w:val="single" w:sz="4" w:space="0" w:color="auto"/>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rPr>
              <w:t>48.25</w:t>
            </w:r>
          </w:p>
        </w:tc>
        <w:tc>
          <w:tcPr>
            <w:tcW w:w="566" w:type="dxa"/>
            <w:tcBorders>
              <w:top w:val="single" w:sz="4" w:space="0" w:color="auto"/>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rPr>
              <w:t>6.22</w:t>
            </w:r>
          </w:p>
        </w:tc>
        <w:tc>
          <w:tcPr>
            <w:tcW w:w="566" w:type="dxa"/>
            <w:tcBorders>
              <w:top w:val="single" w:sz="4" w:space="0" w:color="auto"/>
              <w:left w:val="nil"/>
              <w:bottom w:val="nil"/>
              <w:right w:val="nil"/>
            </w:tcBorders>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39.6</w:t>
            </w:r>
          </w:p>
        </w:tc>
        <w:tc>
          <w:tcPr>
            <w:tcW w:w="566" w:type="dxa"/>
            <w:tcBorders>
              <w:top w:val="single" w:sz="4" w:space="0" w:color="auto"/>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rPr>
              <w:t>0.10</w:t>
            </w:r>
          </w:p>
        </w:tc>
        <w:tc>
          <w:tcPr>
            <w:tcW w:w="566" w:type="dxa"/>
            <w:tcBorders>
              <w:top w:val="single" w:sz="4" w:space="0" w:color="auto"/>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rPr>
              <w:t>0.45</w:t>
            </w:r>
          </w:p>
        </w:tc>
        <w:tc>
          <w:tcPr>
            <w:tcW w:w="1159" w:type="dxa"/>
            <w:tcBorders>
              <w:top w:val="single" w:sz="4" w:space="0" w:color="auto"/>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3.4</w:t>
            </w:r>
          </w:p>
        </w:tc>
        <w:tc>
          <w:tcPr>
            <w:tcW w:w="644" w:type="dxa"/>
            <w:tcBorders>
              <w:top w:val="single" w:sz="4" w:space="0" w:color="auto"/>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73</w:t>
            </w:r>
          </w:p>
        </w:tc>
        <w:tc>
          <w:tcPr>
            <w:tcW w:w="1353" w:type="dxa"/>
            <w:tcBorders>
              <w:top w:val="single" w:sz="4" w:space="0" w:color="auto"/>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rPr>
              <w:t>76.5</w:t>
            </w:r>
          </w:p>
        </w:tc>
        <w:tc>
          <w:tcPr>
            <w:tcW w:w="1290" w:type="dxa"/>
            <w:tcBorders>
              <w:top w:val="single" w:sz="4" w:space="0" w:color="auto"/>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rPr>
              <w:t>3.3</w:t>
            </w:r>
          </w:p>
        </w:tc>
      </w:tr>
      <w:tr>
        <w:trPr>
          <w:trHeight w:val="249"/>
          <w:jc w:val="center"/>
        </w:trPr>
        <w:tc>
          <w:tcPr>
            <w:tcW w:w="1550" w:type="dxa"/>
            <w:tcBorders>
              <w:top w:val="nil"/>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DT_WCPR_210</w:t>
            </w:r>
          </w:p>
        </w:tc>
        <w:tc>
          <w:tcPr>
            <w:tcW w:w="553" w:type="dxa"/>
            <w:tcBorders>
              <w:top w:val="nil"/>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210</w:t>
            </w:r>
          </w:p>
        </w:tc>
        <w:tc>
          <w:tcPr>
            <w:tcW w:w="589" w:type="dxa"/>
            <w:tcBorders>
              <w:top w:val="nil"/>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15</w:t>
            </w:r>
          </w:p>
        </w:tc>
        <w:tc>
          <w:tcPr>
            <w:tcW w:w="994" w:type="dxa"/>
            <w:tcBorders>
              <w:top w:val="nil"/>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2.64</w:t>
            </w:r>
          </w:p>
        </w:tc>
        <w:tc>
          <w:tcPr>
            <w:tcW w:w="666" w:type="dxa"/>
            <w:tcBorders>
              <w:top w:val="nil"/>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79.25</w:t>
            </w:r>
          </w:p>
        </w:tc>
        <w:tc>
          <w:tcPr>
            <w:tcW w:w="666" w:type="dxa"/>
            <w:tcBorders>
              <w:top w:val="nil"/>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13.37</w:t>
            </w:r>
          </w:p>
        </w:tc>
        <w:tc>
          <w:tcPr>
            <w:tcW w:w="566" w:type="dxa"/>
            <w:tcBorders>
              <w:top w:val="nil"/>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4.73</w:t>
            </w:r>
          </w:p>
        </w:tc>
        <w:tc>
          <w:tcPr>
            <w:tcW w:w="666" w:type="dxa"/>
            <w:tcBorders>
              <w:top w:val="nil"/>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50.09</w:t>
            </w:r>
          </w:p>
        </w:tc>
        <w:tc>
          <w:tcPr>
            <w:tcW w:w="566" w:type="dxa"/>
            <w:tcBorders>
              <w:top w:val="nil"/>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5.96</w:t>
            </w:r>
          </w:p>
        </w:tc>
        <w:tc>
          <w:tcPr>
            <w:tcW w:w="566" w:type="dxa"/>
            <w:tcBorders>
              <w:top w:val="nil"/>
              <w:left w:val="nil"/>
              <w:bottom w:val="nil"/>
              <w:right w:val="nil"/>
            </w:tcBorders>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36.1</w:t>
            </w:r>
          </w:p>
        </w:tc>
        <w:tc>
          <w:tcPr>
            <w:tcW w:w="566" w:type="dxa"/>
            <w:tcBorders>
              <w:top w:val="nil"/>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0.14</w:t>
            </w:r>
          </w:p>
        </w:tc>
        <w:tc>
          <w:tcPr>
            <w:tcW w:w="566" w:type="dxa"/>
            <w:tcBorders>
              <w:top w:val="nil"/>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0.35</w:t>
            </w:r>
          </w:p>
        </w:tc>
        <w:tc>
          <w:tcPr>
            <w:tcW w:w="1159" w:type="dxa"/>
            <w:tcBorders>
              <w:top w:val="nil"/>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4.2</w:t>
            </w:r>
          </w:p>
        </w:tc>
        <w:tc>
          <w:tcPr>
            <w:tcW w:w="644" w:type="dxa"/>
            <w:tcBorders>
              <w:top w:val="nil"/>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318</w:t>
            </w:r>
          </w:p>
        </w:tc>
        <w:tc>
          <w:tcPr>
            <w:tcW w:w="1353" w:type="dxa"/>
            <w:tcBorders>
              <w:top w:val="nil"/>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rPr>
              <w:t>73.5</w:t>
            </w:r>
          </w:p>
        </w:tc>
        <w:tc>
          <w:tcPr>
            <w:tcW w:w="1290" w:type="dxa"/>
            <w:tcBorders>
              <w:top w:val="nil"/>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rPr>
              <w:t>3.2</w:t>
            </w:r>
          </w:p>
        </w:tc>
      </w:tr>
      <w:tr>
        <w:trPr>
          <w:trHeight w:val="266"/>
          <w:jc w:val="center"/>
        </w:trPr>
        <w:tc>
          <w:tcPr>
            <w:tcW w:w="1550" w:type="dxa"/>
            <w:tcBorders>
              <w:top w:val="nil"/>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DT_WCPR_240</w:t>
            </w:r>
          </w:p>
        </w:tc>
        <w:tc>
          <w:tcPr>
            <w:tcW w:w="553" w:type="dxa"/>
            <w:tcBorders>
              <w:top w:val="nil"/>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240</w:t>
            </w:r>
          </w:p>
        </w:tc>
        <w:tc>
          <w:tcPr>
            <w:tcW w:w="589" w:type="dxa"/>
            <w:tcBorders>
              <w:top w:val="nil"/>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15</w:t>
            </w:r>
          </w:p>
        </w:tc>
        <w:tc>
          <w:tcPr>
            <w:tcW w:w="994" w:type="dxa"/>
            <w:tcBorders>
              <w:top w:val="nil"/>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1.44</w:t>
            </w:r>
          </w:p>
        </w:tc>
        <w:tc>
          <w:tcPr>
            <w:tcW w:w="666" w:type="dxa"/>
            <w:tcBorders>
              <w:top w:val="nil"/>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79.77</w:t>
            </w:r>
          </w:p>
        </w:tc>
        <w:tc>
          <w:tcPr>
            <w:tcW w:w="666" w:type="dxa"/>
            <w:tcBorders>
              <w:top w:val="nil"/>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16.67</w:t>
            </w:r>
          </w:p>
        </w:tc>
        <w:tc>
          <w:tcPr>
            <w:tcW w:w="566" w:type="dxa"/>
            <w:tcBorders>
              <w:top w:val="nil"/>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2.13</w:t>
            </w:r>
          </w:p>
        </w:tc>
        <w:tc>
          <w:tcPr>
            <w:tcW w:w="666" w:type="dxa"/>
            <w:tcBorders>
              <w:top w:val="nil"/>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49.72</w:t>
            </w:r>
          </w:p>
        </w:tc>
        <w:tc>
          <w:tcPr>
            <w:tcW w:w="566" w:type="dxa"/>
            <w:tcBorders>
              <w:top w:val="nil"/>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5.75</w:t>
            </w:r>
          </w:p>
        </w:tc>
        <w:tc>
          <w:tcPr>
            <w:tcW w:w="566" w:type="dxa"/>
            <w:tcBorders>
              <w:top w:val="nil"/>
              <w:left w:val="nil"/>
              <w:bottom w:val="nil"/>
              <w:right w:val="nil"/>
            </w:tcBorders>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40.5</w:t>
            </w:r>
          </w:p>
        </w:tc>
        <w:tc>
          <w:tcPr>
            <w:tcW w:w="566" w:type="dxa"/>
            <w:tcBorders>
              <w:top w:val="nil"/>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0.15</w:t>
            </w:r>
          </w:p>
        </w:tc>
        <w:tc>
          <w:tcPr>
            <w:tcW w:w="566" w:type="dxa"/>
            <w:tcBorders>
              <w:top w:val="nil"/>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0.36</w:t>
            </w:r>
          </w:p>
        </w:tc>
        <w:tc>
          <w:tcPr>
            <w:tcW w:w="1159" w:type="dxa"/>
            <w:tcBorders>
              <w:top w:val="nil"/>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3.8</w:t>
            </w:r>
          </w:p>
        </w:tc>
        <w:tc>
          <w:tcPr>
            <w:tcW w:w="644" w:type="dxa"/>
            <w:tcBorders>
              <w:top w:val="nil"/>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268</w:t>
            </w:r>
          </w:p>
        </w:tc>
        <w:tc>
          <w:tcPr>
            <w:tcW w:w="1353" w:type="dxa"/>
            <w:tcBorders>
              <w:top w:val="nil"/>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rPr>
              <w:t>69.5</w:t>
            </w:r>
          </w:p>
        </w:tc>
        <w:tc>
          <w:tcPr>
            <w:tcW w:w="1290" w:type="dxa"/>
            <w:tcBorders>
              <w:top w:val="nil"/>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rPr>
              <w:t>3.0</w:t>
            </w:r>
          </w:p>
        </w:tc>
      </w:tr>
      <w:tr>
        <w:trPr>
          <w:jc w:val="center"/>
        </w:trPr>
        <w:tc>
          <w:tcPr>
            <w:tcW w:w="1550" w:type="dxa"/>
            <w:tcBorders>
              <w:top w:val="nil"/>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DT_WCPR_270</w:t>
            </w:r>
          </w:p>
        </w:tc>
        <w:tc>
          <w:tcPr>
            <w:tcW w:w="553" w:type="dxa"/>
            <w:tcBorders>
              <w:top w:val="nil"/>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270</w:t>
            </w:r>
          </w:p>
        </w:tc>
        <w:tc>
          <w:tcPr>
            <w:tcW w:w="589" w:type="dxa"/>
            <w:tcBorders>
              <w:top w:val="nil"/>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15</w:t>
            </w:r>
          </w:p>
        </w:tc>
        <w:tc>
          <w:tcPr>
            <w:tcW w:w="994" w:type="dxa"/>
            <w:tcBorders>
              <w:top w:val="nil"/>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1.67</w:t>
            </w:r>
          </w:p>
        </w:tc>
        <w:tc>
          <w:tcPr>
            <w:tcW w:w="666" w:type="dxa"/>
            <w:tcBorders>
              <w:top w:val="nil"/>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73.95</w:t>
            </w:r>
          </w:p>
        </w:tc>
        <w:tc>
          <w:tcPr>
            <w:tcW w:w="666" w:type="dxa"/>
            <w:tcBorders>
              <w:top w:val="nil"/>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21.82</w:t>
            </w:r>
          </w:p>
        </w:tc>
        <w:tc>
          <w:tcPr>
            <w:tcW w:w="566" w:type="dxa"/>
            <w:tcBorders>
              <w:top w:val="nil"/>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2.56</w:t>
            </w:r>
          </w:p>
        </w:tc>
        <w:tc>
          <w:tcPr>
            <w:tcW w:w="666" w:type="dxa"/>
            <w:tcBorders>
              <w:top w:val="nil"/>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53.58</w:t>
            </w:r>
          </w:p>
        </w:tc>
        <w:tc>
          <w:tcPr>
            <w:tcW w:w="566" w:type="dxa"/>
            <w:tcBorders>
              <w:top w:val="nil"/>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5.49</w:t>
            </w:r>
          </w:p>
        </w:tc>
        <w:tc>
          <w:tcPr>
            <w:tcW w:w="566" w:type="dxa"/>
            <w:tcBorders>
              <w:top w:val="nil"/>
              <w:left w:val="nil"/>
              <w:bottom w:val="nil"/>
              <w:right w:val="nil"/>
            </w:tcBorders>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36.2</w:t>
            </w:r>
          </w:p>
        </w:tc>
        <w:tc>
          <w:tcPr>
            <w:tcW w:w="566" w:type="dxa"/>
            <w:tcBorders>
              <w:top w:val="nil"/>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0.16</w:t>
            </w:r>
          </w:p>
        </w:tc>
        <w:tc>
          <w:tcPr>
            <w:tcW w:w="566" w:type="dxa"/>
            <w:tcBorders>
              <w:top w:val="nil"/>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0.38</w:t>
            </w:r>
          </w:p>
        </w:tc>
        <w:tc>
          <w:tcPr>
            <w:tcW w:w="1159" w:type="dxa"/>
            <w:tcBorders>
              <w:top w:val="nil"/>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3.2</w:t>
            </w:r>
          </w:p>
        </w:tc>
        <w:tc>
          <w:tcPr>
            <w:tcW w:w="644" w:type="dxa"/>
            <w:tcBorders>
              <w:top w:val="nil"/>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472</w:t>
            </w:r>
          </w:p>
        </w:tc>
        <w:tc>
          <w:tcPr>
            <w:tcW w:w="1353" w:type="dxa"/>
            <w:tcBorders>
              <w:top w:val="nil"/>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rPr>
              <w:t>48.1</w:t>
            </w:r>
          </w:p>
        </w:tc>
        <w:tc>
          <w:tcPr>
            <w:tcW w:w="1290" w:type="dxa"/>
            <w:tcBorders>
              <w:top w:val="nil"/>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rPr>
              <w:t>1.1</w:t>
            </w:r>
          </w:p>
        </w:tc>
      </w:tr>
      <w:tr>
        <w:trPr>
          <w:trHeight w:val="317"/>
          <w:jc w:val="center"/>
        </w:trPr>
        <w:tc>
          <w:tcPr>
            <w:tcW w:w="1550" w:type="dxa"/>
            <w:tcBorders>
              <w:top w:val="nil"/>
              <w:left w:val="nil"/>
              <w:bottom w:val="single" w:sz="4" w:space="0" w:color="auto"/>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DT_WCPR_300</w:t>
            </w:r>
          </w:p>
        </w:tc>
        <w:tc>
          <w:tcPr>
            <w:tcW w:w="553" w:type="dxa"/>
            <w:tcBorders>
              <w:top w:val="nil"/>
              <w:left w:val="nil"/>
              <w:bottom w:val="single" w:sz="4" w:space="0" w:color="auto"/>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300</w:t>
            </w:r>
          </w:p>
        </w:tc>
        <w:tc>
          <w:tcPr>
            <w:tcW w:w="589" w:type="dxa"/>
            <w:tcBorders>
              <w:top w:val="nil"/>
              <w:left w:val="nil"/>
              <w:bottom w:val="single" w:sz="4" w:space="0" w:color="auto"/>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15</w:t>
            </w:r>
          </w:p>
        </w:tc>
        <w:tc>
          <w:tcPr>
            <w:tcW w:w="994" w:type="dxa"/>
            <w:tcBorders>
              <w:top w:val="nil"/>
              <w:left w:val="nil"/>
              <w:bottom w:val="single" w:sz="4" w:space="0" w:color="auto"/>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2.22</w:t>
            </w:r>
          </w:p>
        </w:tc>
        <w:tc>
          <w:tcPr>
            <w:tcW w:w="666" w:type="dxa"/>
            <w:tcBorders>
              <w:top w:val="nil"/>
              <w:left w:val="nil"/>
              <w:bottom w:val="single" w:sz="4" w:space="0" w:color="auto"/>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59.59</w:t>
            </w:r>
          </w:p>
        </w:tc>
        <w:tc>
          <w:tcPr>
            <w:tcW w:w="666" w:type="dxa"/>
            <w:tcBorders>
              <w:top w:val="nil"/>
              <w:left w:val="nil"/>
              <w:bottom w:val="single" w:sz="4" w:space="0" w:color="auto"/>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36.49</w:t>
            </w:r>
          </w:p>
        </w:tc>
        <w:tc>
          <w:tcPr>
            <w:tcW w:w="566" w:type="dxa"/>
            <w:tcBorders>
              <w:top w:val="nil"/>
              <w:left w:val="nil"/>
              <w:bottom w:val="single" w:sz="4" w:space="0" w:color="auto"/>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1.70</w:t>
            </w:r>
          </w:p>
        </w:tc>
        <w:tc>
          <w:tcPr>
            <w:tcW w:w="666" w:type="dxa"/>
            <w:tcBorders>
              <w:top w:val="nil"/>
              <w:left w:val="nil"/>
              <w:bottom w:val="single" w:sz="4" w:space="0" w:color="auto"/>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62.13</w:t>
            </w:r>
          </w:p>
        </w:tc>
        <w:tc>
          <w:tcPr>
            <w:tcW w:w="566" w:type="dxa"/>
            <w:tcBorders>
              <w:top w:val="nil"/>
              <w:left w:val="nil"/>
              <w:bottom w:val="single" w:sz="4" w:space="0" w:color="auto"/>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4.89</w:t>
            </w:r>
          </w:p>
        </w:tc>
        <w:tc>
          <w:tcPr>
            <w:tcW w:w="566" w:type="dxa"/>
            <w:tcBorders>
              <w:top w:val="nil"/>
              <w:left w:val="nil"/>
              <w:bottom w:val="single" w:sz="4" w:space="0" w:color="auto"/>
              <w:right w:val="nil"/>
            </w:tcBorders>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28.5</w:t>
            </w:r>
          </w:p>
        </w:tc>
        <w:tc>
          <w:tcPr>
            <w:tcW w:w="566" w:type="dxa"/>
            <w:tcBorders>
              <w:top w:val="nil"/>
              <w:left w:val="nil"/>
              <w:bottom w:val="single" w:sz="4" w:space="0" w:color="auto"/>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0.17</w:t>
            </w:r>
          </w:p>
        </w:tc>
        <w:tc>
          <w:tcPr>
            <w:tcW w:w="566" w:type="dxa"/>
            <w:tcBorders>
              <w:top w:val="nil"/>
              <w:left w:val="nil"/>
              <w:bottom w:val="single" w:sz="4" w:space="0" w:color="auto"/>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0.44</w:t>
            </w:r>
          </w:p>
        </w:tc>
        <w:tc>
          <w:tcPr>
            <w:tcW w:w="1159" w:type="dxa"/>
            <w:tcBorders>
              <w:top w:val="nil"/>
              <w:left w:val="nil"/>
              <w:bottom w:val="single" w:sz="4" w:space="0" w:color="auto"/>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2.9</w:t>
            </w:r>
          </w:p>
        </w:tc>
        <w:tc>
          <w:tcPr>
            <w:tcW w:w="644" w:type="dxa"/>
            <w:tcBorders>
              <w:top w:val="nil"/>
              <w:left w:val="nil"/>
              <w:bottom w:val="single" w:sz="4" w:space="0" w:color="auto"/>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222</w:t>
            </w:r>
          </w:p>
        </w:tc>
        <w:tc>
          <w:tcPr>
            <w:tcW w:w="1353" w:type="dxa"/>
            <w:tcBorders>
              <w:top w:val="nil"/>
              <w:left w:val="nil"/>
              <w:bottom w:val="single" w:sz="4" w:space="0" w:color="auto"/>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rPr>
              <w:t>6.7</w:t>
            </w:r>
          </w:p>
        </w:tc>
        <w:tc>
          <w:tcPr>
            <w:tcW w:w="1290" w:type="dxa"/>
            <w:tcBorders>
              <w:top w:val="nil"/>
              <w:left w:val="nil"/>
              <w:bottom w:val="single" w:sz="4" w:space="0" w:color="auto"/>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rPr>
              <w:t>0.8</w:t>
            </w:r>
          </w:p>
        </w:tc>
      </w:tr>
      <w:tr>
        <w:trPr>
          <w:trHeight w:val="317"/>
          <w:jc w:val="center"/>
        </w:trPr>
        <w:tc>
          <w:tcPr>
            <w:tcW w:w="1550" w:type="dxa"/>
            <w:tcBorders>
              <w:top w:val="single" w:sz="4" w:space="0" w:color="auto"/>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DT_WCPR_210</w:t>
            </w:r>
          </w:p>
        </w:tc>
        <w:tc>
          <w:tcPr>
            <w:tcW w:w="553" w:type="dxa"/>
            <w:tcBorders>
              <w:top w:val="single" w:sz="4" w:space="0" w:color="auto"/>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210</w:t>
            </w:r>
          </w:p>
        </w:tc>
        <w:tc>
          <w:tcPr>
            <w:tcW w:w="589" w:type="dxa"/>
            <w:tcBorders>
              <w:top w:val="single" w:sz="4" w:space="0" w:color="auto"/>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30</w:t>
            </w:r>
          </w:p>
        </w:tc>
        <w:tc>
          <w:tcPr>
            <w:tcW w:w="994" w:type="dxa"/>
            <w:tcBorders>
              <w:top w:val="single" w:sz="4" w:space="0" w:color="auto"/>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1.13</w:t>
            </w:r>
          </w:p>
        </w:tc>
        <w:tc>
          <w:tcPr>
            <w:tcW w:w="666" w:type="dxa"/>
            <w:tcBorders>
              <w:top w:val="single" w:sz="4" w:space="0" w:color="auto"/>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79.30</w:t>
            </w:r>
          </w:p>
        </w:tc>
        <w:tc>
          <w:tcPr>
            <w:tcW w:w="666" w:type="dxa"/>
            <w:tcBorders>
              <w:top w:val="single" w:sz="4" w:space="0" w:color="auto"/>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15.44</w:t>
            </w:r>
          </w:p>
        </w:tc>
        <w:tc>
          <w:tcPr>
            <w:tcW w:w="566" w:type="dxa"/>
            <w:tcBorders>
              <w:top w:val="single" w:sz="4" w:space="0" w:color="auto"/>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4.14</w:t>
            </w:r>
          </w:p>
        </w:tc>
        <w:tc>
          <w:tcPr>
            <w:tcW w:w="666" w:type="dxa"/>
            <w:tcBorders>
              <w:top w:val="single" w:sz="4" w:space="0" w:color="auto"/>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50.49</w:t>
            </w:r>
          </w:p>
        </w:tc>
        <w:tc>
          <w:tcPr>
            <w:tcW w:w="566" w:type="dxa"/>
            <w:tcBorders>
              <w:top w:val="single" w:sz="4" w:space="0" w:color="auto"/>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5.91</w:t>
            </w:r>
          </w:p>
        </w:tc>
        <w:tc>
          <w:tcPr>
            <w:tcW w:w="566" w:type="dxa"/>
            <w:tcBorders>
              <w:top w:val="single" w:sz="4" w:space="0" w:color="auto"/>
              <w:left w:val="nil"/>
              <w:bottom w:val="nil"/>
              <w:right w:val="nil"/>
            </w:tcBorders>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37.8</w:t>
            </w:r>
          </w:p>
        </w:tc>
        <w:tc>
          <w:tcPr>
            <w:tcW w:w="566" w:type="dxa"/>
            <w:tcBorders>
              <w:top w:val="single" w:sz="4" w:space="0" w:color="auto"/>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0.16</w:t>
            </w:r>
          </w:p>
        </w:tc>
        <w:tc>
          <w:tcPr>
            <w:tcW w:w="566" w:type="dxa"/>
            <w:tcBorders>
              <w:top w:val="single" w:sz="4" w:space="0" w:color="auto"/>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0.39</w:t>
            </w:r>
          </w:p>
        </w:tc>
        <w:tc>
          <w:tcPr>
            <w:tcW w:w="1159" w:type="dxa"/>
            <w:tcBorders>
              <w:top w:val="single" w:sz="4" w:space="0" w:color="auto"/>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3.7</w:t>
            </w:r>
          </w:p>
        </w:tc>
        <w:tc>
          <w:tcPr>
            <w:tcW w:w="644" w:type="dxa"/>
            <w:tcBorders>
              <w:top w:val="single" w:sz="4" w:space="0" w:color="auto"/>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374</w:t>
            </w:r>
          </w:p>
        </w:tc>
        <w:tc>
          <w:tcPr>
            <w:tcW w:w="1353" w:type="dxa"/>
            <w:tcBorders>
              <w:top w:val="single" w:sz="4" w:space="0" w:color="auto"/>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rPr>
              <w:t>71.6</w:t>
            </w:r>
          </w:p>
        </w:tc>
        <w:tc>
          <w:tcPr>
            <w:tcW w:w="1290" w:type="dxa"/>
            <w:tcBorders>
              <w:top w:val="single" w:sz="4" w:space="0" w:color="auto"/>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rPr>
              <w:t>3.2</w:t>
            </w:r>
          </w:p>
        </w:tc>
      </w:tr>
      <w:tr>
        <w:trPr>
          <w:trHeight w:val="317"/>
          <w:jc w:val="center"/>
        </w:trPr>
        <w:tc>
          <w:tcPr>
            <w:tcW w:w="1550" w:type="dxa"/>
            <w:tcBorders>
              <w:top w:val="nil"/>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DT_WCPR_240</w:t>
            </w:r>
          </w:p>
        </w:tc>
        <w:tc>
          <w:tcPr>
            <w:tcW w:w="553" w:type="dxa"/>
            <w:tcBorders>
              <w:top w:val="nil"/>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240</w:t>
            </w:r>
          </w:p>
        </w:tc>
        <w:tc>
          <w:tcPr>
            <w:tcW w:w="589" w:type="dxa"/>
            <w:tcBorders>
              <w:top w:val="nil"/>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30</w:t>
            </w:r>
          </w:p>
        </w:tc>
        <w:tc>
          <w:tcPr>
            <w:tcW w:w="994" w:type="dxa"/>
            <w:tcBorders>
              <w:top w:val="nil"/>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1.65</w:t>
            </w:r>
          </w:p>
        </w:tc>
        <w:tc>
          <w:tcPr>
            <w:tcW w:w="666" w:type="dxa"/>
            <w:tcBorders>
              <w:top w:val="nil"/>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78.99</w:t>
            </w:r>
          </w:p>
        </w:tc>
        <w:tc>
          <w:tcPr>
            <w:tcW w:w="666" w:type="dxa"/>
            <w:tcBorders>
              <w:top w:val="nil"/>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17.46</w:t>
            </w:r>
          </w:p>
        </w:tc>
        <w:tc>
          <w:tcPr>
            <w:tcW w:w="566" w:type="dxa"/>
            <w:tcBorders>
              <w:top w:val="nil"/>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1.91</w:t>
            </w:r>
          </w:p>
        </w:tc>
        <w:tc>
          <w:tcPr>
            <w:tcW w:w="666" w:type="dxa"/>
            <w:tcBorders>
              <w:top w:val="nil"/>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51.50</w:t>
            </w:r>
          </w:p>
        </w:tc>
        <w:tc>
          <w:tcPr>
            <w:tcW w:w="566" w:type="dxa"/>
            <w:tcBorders>
              <w:top w:val="nil"/>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5.81</w:t>
            </w:r>
          </w:p>
        </w:tc>
        <w:tc>
          <w:tcPr>
            <w:tcW w:w="566" w:type="dxa"/>
            <w:tcBorders>
              <w:top w:val="nil"/>
              <w:left w:val="nil"/>
              <w:bottom w:val="nil"/>
              <w:right w:val="nil"/>
            </w:tcBorders>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38.6</w:t>
            </w:r>
          </w:p>
        </w:tc>
        <w:tc>
          <w:tcPr>
            <w:tcW w:w="566" w:type="dxa"/>
            <w:tcBorders>
              <w:top w:val="nil"/>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0.13</w:t>
            </w:r>
          </w:p>
        </w:tc>
        <w:tc>
          <w:tcPr>
            <w:tcW w:w="566" w:type="dxa"/>
            <w:tcBorders>
              <w:top w:val="nil"/>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0.38</w:t>
            </w:r>
          </w:p>
        </w:tc>
        <w:tc>
          <w:tcPr>
            <w:tcW w:w="1159" w:type="dxa"/>
            <w:tcBorders>
              <w:top w:val="nil"/>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3.8</w:t>
            </w:r>
          </w:p>
        </w:tc>
        <w:tc>
          <w:tcPr>
            <w:tcW w:w="644" w:type="dxa"/>
            <w:tcBorders>
              <w:top w:val="nil"/>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288</w:t>
            </w:r>
          </w:p>
        </w:tc>
        <w:tc>
          <w:tcPr>
            <w:tcW w:w="1353" w:type="dxa"/>
            <w:tcBorders>
              <w:top w:val="nil"/>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rPr>
              <w:t>64.5</w:t>
            </w:r>
          </w:p>
        </w:tc>
        <w:tc>
          <w:tcPr>
            <w:tcW w:w="1290" w:type="dxa"/>
            <w:tcBorders>
              <w:top w:val="nil"/>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rPr>
              <w:t>2.7</w:t>
            </w:r>
          </w:p>
        </w:tc>
      </w:tr>
      <w:tr>
        <w:trPr>
          <w:trHeight w:val="317"/>
          <w:jc w:val="center"/>
        </w:trPr>
        <w:tc>
          <w:tcPr>
            <w:tcW w:w="1550" w:type="dxa"/>
            <w:tcBorders>
              <w:top w:val="nil"/>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DT_WCPR_270</w:t>
            </w:r>
          </w:p>
        </w:tc>
        <w:tc>
          <w:tcPr>
            <w:tcW w:w="553" w:type="dxa"/>
            <w:tcBorders>
              <w:top w:val="nil"/>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270</w:t>
            </w:r>
          </w:p>
        </w:tc>
        <w:tc>
          <w:tcPr>
            <w:tcW w:w="589" w:type="dxa"/>
            <w:tcBorders>
              <w:top w:val="nil"/>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30</w:t>
            </w:r>
          </w:p>
        </w:tc>
        <w:tc>
          <w:tcPr>
            <w:tcW w:w="994" w:type="dxa"/>
            <w:tcBorders>
              <w:top w:val="nil"/>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1.64</w:t>
            </w:r>
          </w:p>
        </w:tc>
        <w:tc>
          <w:tcPr>
            <w:tcW w:w="666" w:type="dxa"/>
            <w:tcBorders>
              <w:top w:val="nil"/>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69.52</w:t>
            </w:r>
          </w:p>
        </w:tc>
        <w:tc>
          <w:tcPr>
            <w:tcW w:w="666" w:type="dxa"/>
            <w:tcBorders>
              <w:top w:val="nil"/>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26.69</w:t>
            </w:r>
          </w:p>
        </w:tc>
        <w:tc>
          <w:tcPr>
            <w:tcW w:w="566" w:type="dxa"/>
            <w:tcBorders>
              <w:top w:val="nil"/>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2.15</w:t>
            </w:r>
          </w:p>
        </w:tc>
        <w:tc>
          <w:tcPr>
            <w:tcW w:w="666" w:type="dxa"/>
            <w:tcBorders>
              <w:top w:val="nil"/>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55.38</w:t>
            </w:r>
          </w:p>
        </w:tc>
        <w:tc>
          <w:tcPr>
            <w:tcW w:w="566" w:type="dxa"/>
            <w:tcBorders>
              <w:top w:val="nil"/>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5.31</w:t>
            </w:r>
          </w:p>
        </w:tc>
        <w:tc>
          <w:tcPr>
            <w:tcW w:w="566" w:type="dxa"/>
            <w:tcBorders>
              <w:top w:val="nil"/>
              <w:left w:val="nil"/>
              <w:bottom w:val="nil"/>
              <w:right w:val="nil"/>
            </w:tcBorders>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34.9</w:t>
            </w:r>
          </w:p>
        </w:tc>
        <w:tc>
          <w:tcPr>
            <w:tcW w:w="566" w:type="dxa"/>
            <w:tcBorders>
              <w:top w:val="nil"/>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0.14</w:t>
            </w:r>
          </w:p>
        </w:tc>
        <w:tc>
          <w:tcPr>
            <w:tcW w:w="566" w:type="dxa"/>
            <w:tcBorders>
              <w:top w:val="nil"/>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0.43</w:t>
            </w:r>
          </w:p>
        </w:tc>
        <w:tc>
          <w:tcPr>
            <w:tcW w:w="1159" w:type="dxa"/>
            <w:tcBorders>
              <w:top w:val="nil"/>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3.5</w:t>
            </w:r>
          </w:p>
        </w:tc>
        <w:tc>
          <w:tcPr>
            <w:tcW w:w="644" w:type="dxa"/>
            <w:tcBorders>
              <w:top w:val="nil"/>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334</w:t>
            </w:r>
          </w:p>
        </w:tc>
        <w:tc>
          <w:tcPr>
            <w:tcW w:w="1353" w:type="dxa"/>
            <w:tcBorders>
              <w:top w:val="nil"/>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rPr>
              <w:t>32.6</w:t>
            </w:r>
          </w:p>
        </w:tc>
        <w:tc>
          <w:tcPr>
            <w:tcW w:w="1290" w:type="dxa"/>
            <w:tcBorders>
              <w:top w:val="nil"/>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rPr>
              <w:t>1.0</w:t>
            </w:r>
          </w:p>
        </w:tc>
      </w:tr>
      <w:tr>
        <w:trPr>
          <w:trHeight w:val="317"/>
          <w:jc w:val="center"/>
        </w:trPr>
        <w:tc>
          <w:tcPr>
            <w:tcW w:w="1550" w:type="dxa"/>
            <w:tcBorders>
              <w:top w:val="nil"/>
              <w:left w:val="nil"/>
              <w:bottom w:val="single" w:sz="4" w:space="0" w:color="auto"/>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DT_WCPR_300</w:t>
            </w:r>
          </w:p>
        </w:tc>
        <w:tc>
          <w:tcPr>
            <w:tcW w:w="553" w:type="dxa"/>
            <w:tcBorders>
              <w:top w:val="nil"/>
              <w:left w:val="nil"/>
              <w:bottom w:val="single" w:sz="4" w:space="0" w:color="auto"/>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300</w:t>
            </w:r>
          </w:p>
        </w:tc>
        <w:tc>
          <w:tcPr>
            <w:tcW w:w="589" w:type="dxa"/>
            <w:tcBorders>
              <w:top w:val="nil"/>
              <w:left w:val="nil"/>
              <w:bottom w:val="single" w:sz="4" w:space="0" w:color="auto"/>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30</w:t>
            </w:r>
          </w:p>
        </w:tc>
        <w:tc>
          <w:tcPr>
            <w:tcW w:w="994" w:type="dxa"/>
            <w:tcBorders>
              <w:top w:val="nil"/>
              <w:left w:val="nil"/>
              <w:bottom w:val="single" w:sz="4" w:space="0" w:color="auto"/>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1.42</w:t>
            </w:r>
          </w:p>
        </w:tc>
        <w:tc>
          <w:tcPr>
            <w:tcW w:w="666" w:type="dxa"/>
            <w:tcBorders>
              <w:top w:val="nil"/>
              <w:left w:val="nil"/>
              <w:bottom w:val="single" w:sz="4" w:space="0" w:color="auto"/>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56.09</w:t>
            </w:r>
          </w:p>
        </w:tc>
        <w:tc>
          <w:tcPr>
            <w:tcW w:w="666" w:type="dxa"/>
            <w:tcBorders>
              <w:top w:val="nil"/>
              <w:left w:val="nil"/>
              <w:bottom w:val="single" w:sz="4" w:space="0" w:color="auto"/>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38.16</w:t>
            </w:r>
          </w:p>
        </w:tc>
        <w:tc>
          <w:tcPr>
            <w:tcW w:w="566" w:type="dxa"/>
            <w:tcBorders>
              <w:top w:val="nil"/>
              <w:left w:val="nil"/>
              <w:bottom w:val="single" w:sz="4" w:space="0" w:color="auto"/>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4.33</w:t>
            </w:r>
          </w:p>
        </w:tc>
        <w:tc>
          <w:tcPr>
            <w:tcW w:w="666" w:type="dxa"/>
            <w:tcBorders>
              <w:top w:val="nil"/>
              <w:left w:val="nil"/>
              <w:bottom w:val="single" w:sz="4" w:space="0" w:color="auto"/>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64.17</w:t>
            </w:r>
          </w:p>
        </w:tc>
        <w:tc>
          <w:tcPr>
            <w:tcW w:w="566" w:type="dxa"/>
            <w:tcBorders>
              <w:top w:val="nil"/>
              <w:left w:val="nil"/>
              <w:bottom w:val="single" w:sz="4" w:space="0" w:color="auto"/>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4.77</w:t>
            </w:r>
          </w:p>
        </w:tc>
        <w:tc>
          <w:tcPr>
            <w:tcW w:w="566" w:type="dxa"/>
            <w:tcBorders>
              <w:top w:val="nil"/>
              <w:left w:val="nil"/>
              <w:bottom w:val="single" w:sz="4" w:space="0" w:color="auto"/>
              <w:right w:val="nil"/>
            </w:tcBorders>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24.6</w:t>
            </w:r>
          </w:p>
        </w:tc>
        <w:tc>
          <w:tcPr>
            <w:tcW w:w="566" w:type="dxa"/>
            <w:tcBorders>
              <w:top w:val="nil"/>
              <w:left w:val="nil"/>
              <w:bottom w:val="single" w:sz="4" w:space="0" w:color="auto"/>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0.19</w:t>
            </w:r>
          </w:p>
        </w:tc>
        <w:tc>
          <w:tcPr>
            <w:tcW w:w="566" w:type="dxa"/>
            <w:tcBorders>
              <w:top w:val="nil"/>
              <w:left w:val="nil"/>
              <w:bottom w:val="single" w:sz="4" w:space="0" w:color="auto"/>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0.54</w:t>
            </w:r>
          </w:p>
        </w:tc>
        <w:tc>
          <w:tcPr>
            <w:tcW w:w="1159" w:type="dxa"/>
            <w:tcBorders>
              <w:top w:val="nil"/>
              <w:left w:val="nil"/>
              <w:bottom w:val="single" w:sz="4" w:space="0" w:color="auto"/>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2.5</w:t>
            </w:r>
          </w:p>
        </w:tc>
        <w:tc>
          <w:tcPr>
            <w:tcW w:w="644" w:type="dxa"/>
            <w:tcBorders>
              <w:top w:val="nil"/>
              <w:left w:val="nil"/>
              <w:bottom w:val="single" w:sz="4" w:space="0" w:color="auto"/>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726</w:t>
            </w:r>
          </w:p>
        </w:tc>
        <w:tc>
          <w:tcPr>
            <w:tcW w:w="1353" w:type="dxa"/>
            <w:tcBorders>
              <w:top w:val="nil"/>
              <w:left w:val="nil"/>
              <w:bottom w:val="single" w:sz="4" w:space="0" w:color="auto"/>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rPr>
              <w:t>10.7</w:t>
            </w:r>
          </w:p>
        </w:tc>
        <w:tc>
          <w:tcPr>
            <w:tcW w:w="1290" w:type="dxa"/>
            <w:tcBorders>
              <w:top w:val="nil"/>
              <w:left w:val="nil"/>
              <w:bottom w:val="single" w:sz="4" w:space="0" w:color="auto"/>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rPr>
              <w:t>0.8</w:t>
            </w:r>
          </w:p>
        </w:tc>
      </w:tr>
      <w:tr>
        <w:trPr>
          <w:trHeight w:val="317"/>
          <w:jc w:val="center"/>
        </w:trPr>
        <w:tc>
          <w:tcPr>
            <w:tcW w:w="1550" w:type="dxa"/>
            <w:tcBorders>
              <w:top w:val="single" w:sz="4" w:space="0" w:color="auto"/>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DT_WCPR_210</w:t>
            </w:r>
          </w:p>
        </w:tc>
        <w:tc>
          <w:tcPr>
            <w:tcW w:w="553" w:type="dxa"/>
            <w:tcBorders>
              <w:top w:val="single" w:sz="4" w:space="0" w:color="auto"/>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210</w:t>
            </w:r>
          </w:p>
        </w:tc>
        <w:tc>
          <w:tcPr>
            <w:tcW w:w="589" w:type="dxa"/>
            <w:tcBorders>
              <w:top w:val="single" w:sz="4" w:space="0" w:color="auto"/>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60</w:t>
            </w:r>
          </w:p>
        </w:tc>
        <w:tc>
          <w:tcPr>
            <w:tcW w:w="994" w:type="dxa"/>
            <w:tcBorders>
              <w:top w:val="single" w:sz="4" w:space="0" w:color="auto"/>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1.44</w:t>
            </w:r>
          </w:p>
        </w:tc>
        <w:tc>
          <w:tcPr>
            <w:tcW w:w="666" w:type="dxa"/>
            <w:tcBorders>
              <w:top w:val="single" w:sz="4" w:space="0" w:color="auto"/>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81.02</w:t>
            </w:r>
          </w:p>
        </w:tc>
        <w:tc>
          <w:tcPr>
            <w:tcW w:w="666" w:type="dxa"/>
            <w:tcBorders>
              <w:top w:val="single" w:sz="4" w:space="0" w:color="auto"/>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15.96</w:t>
            </w:r>
          </w:p>
        </w:tc>
        <w:tc>
          <w:tcPr>
            <w:tcW w:w="566" w:type="dxa"/>
            <w:tcBorders>
              <w:top w:val="single" w:sz="4" w:space="0" w:color="auto"/>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1.58</w:t>
            </w:r>
          </w:p>
        </w:tc>
        <w:tc>
          <w:tcPr>
            <w:tcW w:w="666" w:type="dxa"/>
            <w:tcBorders>
              <w:top w:val="single" w:sz="4" w:space="0" w:color="auto"/>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50.32</w:t>
            </w:r>
          </w:p>
        </w:tc>
        <w:tc>
          <w:tcPr>
            <w:tcW w:w="566" w:type="dxa"/>
            <w:tcBorders>
              <w:top w:val="single" w:sz="4" w:space="0" w:color="auto"/>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5.83</w:t>
            </w:r>
          </w:p>
        </w:tc>
        <w:tc>
          <w:tcPr>
            <w:tcW w:w="566" w:type="dxa"/>
            <w:tcBorders>
              <w:top w:val="single" w:sz="4" w:space="0" w:color="auto"/>
              <w:left w:val="nil"/>
              <w:bottom w:val="nil"/>
              <w:right w:val="nil"/>
            </w:tcBorders>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40.3</w:t>
            </w:r>
          </w:p>
        </w:tc>
        <w:tc>
          <w:tcPr>
            <w:tcW w:w="566" w:type="dxa"/>
            <w:tcBorders>
              <w:top w:val="single" w:sz="4" w:space="0" w:color="auto"/>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0.14</w:t>
            </w:r>
          </w:p>
        </w:tc>
        <w:tc>
          <w:tcPr>
            <w:tcW w:w="566" w:type="dxa"/>
            <w:tcBorders>
              <w:top w:val="single" w:sz="4" w:space="0" w:color="auto"/>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0.43</w:t>
            </w:r>
          </w:p>
        </w:tc>
        <w:tc>
          <w:tcPr>
            <w:tcW w:w="1159" w:type="dxa"/>
            <w:tcBorders>
              <w:top w:val="single" w:sz="4" w:space="0" w:color="auto"/>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4.3</w:t>
            </w:r>
          </w:p>
        </w:tc>
        <w:tc>
          <w:tcPr>
            <w:tcW w:w="644" w:type="dxa"/>
            <w:tcBorders>
              <w:top w:val="single" w:sz="4" w:space="0" w:color="auto"/>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225</w:t>
            </w:r>
          </w:p>
        </w:tc>
        <w:tc>
          <w:tcPr>
            <w:tcW w:w="1353" w:type="dxa"/>
            <w:tcBorders>
              <w:top w:val="single" w:sz="4" w:space="0" w:color="auto"/>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rPr>
              <w:t>71.2</w:t>
            </w:r>
          </w:p>
        </w:tc>
        <w:tc>
          <w:tcPr>
            <w:tcW w:w="1290" w:type="dxa"/>
            <w:tcBorders>
              <w:top w:val="single" w:sz="4" w:space="0" w:color="auto"/>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rPr>
              <w:t>3.1</w:t>
            </w:r>
          </w:p>
        </w:tc>
      </w:tr>
      <w:tr>
        <w:trPr>
          <w:trHeight w:val="317"/>
          <w:jc w:val="center"/>
        </w:trPr>
        <w:tc>
          <w:tcPr>
            <w:tcW w:w="1550" w:type="dxa"/>
            <w:tcBorders>
              <w:top w:val="nil"/>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DT_WCPR_240</w:t>
            </w:r>
          </w:p>
        </w:tc>
        <w:tc>
          <w:tcPr>
            <w:tcW w:w="553" w:type="dxa"/>
            <w:tcBorders>
              <w:top w:val="nil"/>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240</w:t>
            </w:r>
          </w:p>
        </w:tc>
        <w:tc>
          <w:tcPr>
            <w:tcW w:w="589" w:type="dxa"/>
            <w:tcBorders>
              <w:top w:val="nil"/>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60</w:t>
            </w:r>
          </w:p>
        </w:tc>
        <w:tc>
          <w:tcPr>
            <w:tcW w:w="994" w:type="dxa"/>
            <w:tcBorders>
              <w:top w:val="nil"/>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1.75</w:t>
            </w:r>
          </w:p>
        </w:tc>
        <w:tc>
          <w:tcPr>
            <w:tcW w:w="666" w:type="dxa"/>
            <w:tcBorders>
              <w:top w:val="nil"/>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78.19</w:t>
            </w:r>
          </w:p>
        </w:tc>
        <w:tc>
          <w:tcPr>
            <w:tcW w:w="666" w:type="dxa"/>
            <w:tcBorders>
              <w:top w:val="nil"/>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18.14</w:t>
            </w:r>
          </w:p>
        </w:tc>
        <w:tc>
          <w:tcPr>
            <w:tcW w:w="566" w:type="dxa"/>
            <w:tcBorders>
              <w:top w:val="nil"/>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1.93</w:t>
            </w:r>
          </w:p>
        </w:tc>
        <w:tc>
          <w:tcPr>
            <w:tcW w:w="666" w:type="dxa"/>
            <w:tcBorders>
              <w:top w:val="nil"/>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51.49</w:t>
            </w:r>
          </w:p>
        </w:tc>
        <w:tc>
          <w:tcPr>
            <w:tcW w:w="566" w:type="dxa"/>
            <w:tcBorders>
              <w:top w:val="nil"/>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5.62</w:t>
            </w:r>
          </w:p>
        </w:tc>
        <w:tc>
          <w:tcPr>
            <w:tcW w:w="566" w:type="dxa"/>
            <w:tcBorders>
              <w:top w:val="nil"/>
              <w:left w:val="nil"/>
              <w:bottom w:val="nil"/>
              <w:right w:val="nil"/>
            </w:tcBorders>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38.6</w:t>
            </w:r>
          </w:p>
        </w:tc>
        <w:tc>
          <w:tcPr>
            <w:tcW w:w="566" w:type="dxa"/>
            <w:tcBorders>
              <w:top w:val="nil"/>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0.14</w:t>
            </w:r>
          </w:p>
        </w:tc>
        <w:tc>
          <w:tcPr>
            <w:tcW w:w="566" w:type="dxa"/>
            <w:tcBorders>
              <w:top w:val="nil"/>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0.46</w:t>
            </w:r>
          </w:p>
        </w:tc>
        <w:tc>
          <w:tcPr>
            <w:tcW w:w="1159" w:type="dxa"/>
            <w:tcBorders>
              <w:top w:val="nil"/>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4.4</w:t>
            </w:r>
          </w:p>
        </w:tc>
        <w:tc>
          <w:tcPr>
            <w:tcW w:w="644" w:type="dxa"/>
            <w:tcBorders>
              <w:top w:val="nil"/>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256</w:t>
            </w:r>
          </w:p>
        </w:tc>
        <w:tc>
          <w:tcPr>
            <w:tcW w:w="1353" w:type="dxa"/>
            <w:tcBorders>
              <w:top w:val="nil"/>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rPr>
              <w:t>61.4</w:t>
            </w:r>
          </w:p>
        </w:tc>
        <w:tc>
          <w:tcPr>
            <w:tcW w:w="1290" w:type="dxa"/>
            <w:tcBorders>
              <w:top w:val="nil"/>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rPr>
              <w:t>2.5</w:t>
            </w:r>
          </w:p>
        </w:tc>
      </w:tr>
      <w:tr>
        <w:trPr>
          <w:trHeight w:val="317"/>
          <w:jc w:val="center"/>
        </w:trPr>
        <w:tc>
          <w:tcPr>
            <w:tcW w:w="1550" w:type="dxa"/>
            <w:tcBorders>
              <w:top w:val="nil"/>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DT_WCPR_270</w:t>
            </w:r>
          </w:p>
        </w:tc>
        <w:tc>
          <w:tcPr>
            <w:tcW w:w="553" w:type="dxa"/>
            <w:tcBorders>
              <w:top w:val="nil"/>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270</w:t>
            </w:r>
          </w:p>
        </w:tc>
        <w:tc>
          <w:tcPr>
            <w:tcW w:w="589" w:type="dxa"/>
            <w:tcBorders>
              <w:top w:val="nil"/>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60</w:t>
            </w:r>
          </w:p>
        </w:tc>
        <w:tc>
          <w:tcPr>
            <w:tcW w:w="994" w:type="dxa"/>
            <w:tcBorders>
              <w:top w:val="nil"/>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1.82</w:t>
            </w:r>
          </w:p>
        </w:tc>
        <w:tc>
          <w:tcPr>
            <w:tcW w:w="666" w:type="dxa"/>
            <w:tcBorders>
              <w:top w:val="nil"/>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66.64</w:t>
            </w:r>
          </w:p>
        </w:tc>
        <w:tc>
          <w:tcPr>
            <w:tcW w:w="666" w:type="dxa"/>
            <w:tcBorders>
              <w:top w:val="nil"/>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29.59</w:t>
            </w:r>
          </w:p>
        </w:tc>
        <w:tc>
          <w:tcPr>
            <w:tcW w:w="566" w:type="dxa"/>
            <w:tcBorders>
              <w:top w:val="nil"/>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1.94</w:t>
            </w:r>
          </w:p>
        </w:tc>
        <w:tc>
          <w:tcPr>
            <w:tcW w:w="666" w:type="dxa"/>
            <w:tcBorders>
              <w:top w:val="nil"/>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58.03</w:t>
            </w:r>
          </w:p>
        </w:tc>
        <w:tc>
          <w:tcPr>
            <w:tcW w:w="566" w:type="dxa"/>
            <w:tcBorders>
              <w:top w:val="nil"/>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5.10</w:t>
            </w:r>
          </w:p>
        </w:tc>
        <w:tc>
          <w:tcPr>
            <w:tcW w:w="566" w:type="dxa"/>
            <w:tcBorders>
              <w:top w:val="nil"/>
              <w:left w:val="nil"/>
              <w:bottom w:val="nil"/>
              <w:right w:val="nil"/>
            </w:tcBorders>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32.4</w:t>
            </w:r>
          </w:p>
        </w:tc>
        <w:tc>
          <w:tcPr>
            <w:tcW w:w="566" w:type="dxa"/>
            <w:tcBorders>
              <w:top w:val="nil"/>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0.15</w:t>
            </w:r>
          </w:p>
        </w:tc>
        <w:tc>
          <w:tcPr>
            <w:tcW w:w="566" w:type="dxa"/>
            <w:tcBorders>
              <w:top w:val="nil"/>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0.55</w:t>
            </w:r>
          </w:p>
        </w:tc>
        <w:tc>
          <w:tcPr>
            <w:tcW w:w="1159" w:type="dxa"/>
            <w:tcBorders>
              <w:top w:val="nil"/>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3.5</w:t>
            </w:r>
          </w:p>
        </w:tc>
        <w:tc>
          <w:tcPr>
            <w:tcW w:w="644" w:type="dxa"/>
            <w:tcBorders>
              <w:top w:val="nil"/>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362</w:t>
            </w:r>
          </w:p>
        </w:tc>
        <w:tc>
          <w:tcPr>
            <w:tcW w:w="1353" w:type="dxa"/>
            <w:tcBorders>
              <w:top w:val="nil"/>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rPr>
              <w:t>28.0</w:t>
            </w:r>
          </w:p>
        </w:tc>
        <w:tc>
          <w:tcPr>
            <w:tcW w:w="1290" w:type="dxa"/>
            <w:tcBorders>
              <w:top w:val="nil"/>
              <w:left w:val="nil"/>
              <w:bottom w:val="nil"/>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rPr>
              <w:t>1.1</w:t>
            </w:r>
          </w:p>
        </w:tc>
      </w:tr>
      <w:tr>
        <w:trPr>
          <w:trHeight w:val="317"/>
          <w:jc w:val="center"/>
        </w:trPr>
        <w:tc>
          <w:tcPr>
            <w:tcW w:w="1550" w:type="dxa"/>
            <w:tcBorders>
              <w:top w:val="nil"/>
              <w:left w:val="nil"/>
              <w:bottom w:val="single" w:sz="4" w:space="0" w:color="auto"/>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DT_WCPR_300</w:t>
            </w:r>
          </w:p>
        </w:tc>
        <w:tc>
          <w:tcPr>
            <w:tcW w:w="553" w:type="dxa"/>
            <w:tcBorders>
              <w:top w:val="nil"/>
              <w:left w:val="nil"/>
              <w:bottom w:val="single" w:sz="4" w:space="0" w:color="auto"/>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300</w:t>
            </w:r>
          </w:p>
        </w:tc>
        <w:tc>
          <w:tcPr>
            <w:tcW w:w="589" w:type="dxa"/>
            <w:tcBorders>
              <w:top w:val="nil"/>
              <w:left w:val="nil"/>
              <w:bottom w:val="single" w:sz="4" w:space="0" w:color="auto"/>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60</w:t>
            </w:r>
          </w:p>
        </w:tc>
        <w:tc>
          <w:tcPr>
            <w:tcW w:w="994" w:type="dxa"/>
            <w:tcBorders>
              <w:top w:val="nil"/>
              <w:left w:val="nil"/>
              <w:bottom w:val="single" w:sz="4" w:space="0" w:color="auto"/>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1.55</w:t>
            </w:r>
          </w:p>
        </w:tc>
        <w:tc>
          <w:tcPr>
            <w:tcW w:w="666" w:type="dxa"/>
            <w:tcBorders>
              <w:top w:val="nil"/>
              <w:left w:val="nil"/>
              <w:bottom w:val="single" w:sz="4" w:space="0" w:color="auto"/>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51.82</w:t>
            </w:r>
          </w:p>
        </w:tc>
        <w:tc>
          <w:tcPr>
            <w:tcW w:w="666" w:type="dxa"/>
            <w:tcBorders>
              <w:top w:val="nil"/>
              <w:left w:val="nil"/>
              <w:bottom w:val="single" w:sz="4" w:space="0" w:color="auto"/>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40.93</w:t>
            </w:r>
          </w:p>
        </w:tc>
        <w:tc>
          <w:tcPr>
            <w:tcW w:w="566" w:type="dxa"/>
            <w:tcBorders>
              <w:top w:val="nil"/>
              <w:left w:val="nil"/>
              <w:bottom w:val="single" w:sz="4" w:space="0" w:color="auto"/>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5.70</w:t>
            </w:r>
          </w:p>
        </w:tc>
        <w:tc>
          <w:tcPr>
            <w:tcW w:w="666" w:type="dxa"/>
            <w:tcBorders>
              <w:top w:val="nil"/>
              <w:left w:val="nil"/>
              <w:bottom w:val="single" w:sz="4" w:space="0" w:color="auto"/>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65.25</w:t>
            </w:r>
          </w:p>
        </w:tc>
        <w:tc>
          <w:tcPr>
            <w:tcW w:w="566" w:type="dxa"/>
            <w:tcBorders>
              <w:top w:val="nil"/>
              <w:left w:val="nil"/>
              <w:bottom w:val="single" w:sz="4" w:space="0" w:color="auto"/>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4.49</w:t>
            </w:r>
          </w:p>
        </w:tc>
        <w:tc>
          <w:tcPr>
            <w:tcW w:w="566" w:type="dxa"/>
            <w:tcBorders>
              <w:top w:val="nil"/>
              <w:left w:val="nil"/>
              <w:bottom w:val="single" w:sz="4" w:space="0" w:color="auto"/>
              <w:right w:val="nil"/>
            </w:tcBorders>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22.1</w:t>
            </w:r>
          </w:p>
        </w:tc>
        <w:tc>
          <w:tcPr>
            <w:tcW w:w="566" w:type="dxa"/>
            <w:tcBorders>
              <w:top w:val="nil"/>
              <w:left w:val="nil"/>
              <w:bottom w:val="single" w:sz="4" w:space="0" w:color="auto"/>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0.17</w:t>
            </w:r>
          </w:p>
        </w:tc>
        <w:tc>
          <w:tcPr>
            <w:tcW w:w="566" w:type="dxa"/>
            <w:tcBorders>
              <w:top w:val="nil"/>
              <w:left w:val="nil"/>
              <w:bottom w:val="single" w:sz="4" w:space="0" w:color="auto"/>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0.70</w:t>
            </w:r>
          </w:p>
        </w:tc>
        <w:tc>
          <w:tcPr>
            <w:tcW w:w="1159" w:type="dxa"/>
            <w:tcBorders>
              <w:top w:val="nil"/>
              <w:left w:val="nil"/>
              <w:bottom w:val="single" w:sz="4" w:space="0" w:color="auto"/>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2.6</w:t>
            </w:r>
          </w:p>
        </w:tc>
        <w:tc>
          <w:tcPr>
            <w:tcW w:w="644" w:type="dxa"/>
            <w:tcBorders>
              <w:top w:val="nil"/>
              <w:left w:val="nil"/>
              <w:bottom w:val="single" w:sz="4" w:space="0" w:color="auto"/>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215</w:t>
            </w:r>
          </w:p>
        </w:tc>
        <w:tc>
          <w:tcPr>
            <w:tcW w:w="1353" w:type="dxa"/>
            <w:tcBorders>
              <w:top w:val="nil"/>
              <w:left w:val="nil"/>
              <w:bottom w:val="single" w:sz="4" w:space="0" w:color="auto"/>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rPr>
              <w:t>10.1</w:t>
            </w:r>
          </w:p>
        </w:tc>
        <w:tc>
          <w:tcPr>
            <w:tcW w:w="1290" w:type="dxa"/>
            <w:tcBorders>
              <w:top w:val="nil"/>
              <w:left w:val="nil"/>
              <w:bottom w:val="single" w:sz="4" w:space="0" w:color="auto"/>
              <w:right w:val="nil"/>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rPr>
              <w:t>0.7</w:t>
            </w:r>
          </w:p>
        </w:tc>
      </w:tr>
    </w:tbl>
    <w:p>
      <w:pPr>
        <w:spacing w:after="0" w:line="480" w:lineRule="auto"/>
        <w:jc w:val="both"/>
        <w:rPr>
          <w:rFonts w:ascii="Times New Roman" w:hAnsi="Times New Roman" w:cs="Times New Roman"/>
          <w:iCs/>
          <w:sz w:val="20"/>
          <w:szCs w:val="20"/>
          <w:lang w:val="en-GB"/>
        </w:rPr>
      </w:pPr>
      <w:bookmarkStart w:id="4" w:name="_Hlk148614854"/>
      <w:r>
        <w:rPr>
          <w:rFonts w:ascii="Times New Roman" w:hAnsi="Times New Roman" w:cs="Times New Roman"/>
          <w:iCs/>
          <w:sz w:val="20"/>
          <w:szCs w:val="20"/>
          <w:vertAlign w:val="superscript"/>
        </w:rPr>
        <w:t>1</w:t>
      </w:r>
      <w:r>
        <w:rPr>
          <w:rFonts w:ascii="Times New Roman" w:hAnsi="Times New Roman" w:cs="Times New Roman"/>
          <w:iCs/>
          <w:sz w:val="20"/>
          <w:szCs w:val="20"/>
          <w:lang w:val="en-GB"/>
        </w:rPr>
        <w:t xml:space="preserve">VM – volatile matter, </w:t>
      </w:r>
      <w:r>
        <w:rPr>
          <w:rFonts w:ascii="Times New Roman" w:hAnsi="Times New Roman" w:cs="Times New Roman"/>
          <w:iCs/>
          <w:sz w:val="20"/>
          <w:szCs w:val="20"/>
          <w:vertAlign w:val="superscript"/>
          <w:lang w:val="en-GB"/>
        </w:rPr>
        <w:t>2</w:t>
      </w:r>
      <w:r>
        <w:rPr>
          <w:rFonts w:ascii="Times New Roman" w:hAnsi="Times New Roman" w:cs="Times New Roman"/>
          <w:iCs/>
          <w:sz w:val="20"/>
          <w:szCs w:val="20"/>
          <w:lang w:val="en-GB"/>
        </w:rPr>
        <w:t xml:space="preserve">FC – fixed carbon, </w:t>
      </w:r>
      <w:r>
        <w:rPr>
          <w:rFonts w:ascii="Times New Roman" w:hAnsi="Times New Roman" w:cs="Times New Roman"/>
          <w:iCs/>
          <w:sz w:val="20"/>
          <w:szCs w:val="20"/>
          <w:vertAlign w:val="superscript"/>
          <w:lang w:val="en-GB"/>
        </w:rPr>
        <w:t>3</w:t>
      </w:r>
      <w:r>
        <w:rPr>
          <w:rFonts w:ascii="Times New Roman" w:hAnsi="Times New Roman" w:cs="Times New Roman"/>
          <w:iCs/>
          <w:sz w:val="20"/>
          <w:szCs w:val="20"/>
          <w:lang w:val="en-GB"/>
        </w:rPr>
        <w:t>PD – Average pore diameter measured from the desorption branch according to the BJH method.</w:t>
      </w:r>
    </w:p>
    <w:bookmarkEnd w:id="4"/>
    <w:p>
      <w:pPr>
        <w:rPr>
          <w:rFonts w:ascii="Times New Roman" w:hAnsi="Times New Roman" w:cs="Times New Roman"/>
          <w:iCs/>
          <w:sz w:val="24"/>
          <w:szCs w:val="24"/>
          <w:highlight w:val="yellow"/>
          <w:lang w:val="en-GB"/>
        </w:rPr>
      </w:pPr>
      <w:r>
        <w:rPr>
          <w:rFonts w:ascii="Times New Roman" w:hAnsi="Times New Roman" w:cs="Times New Roman"/>
          <w:iCs/>
          <w:sz w:val="24"/>
          <w:szCs w:val="24"/>
          <w:highlight w:val="yellow"/>
          <w:lang w:val="en-GB"/>
        </w:rPr>
        <w:br w:type="page"/>
      </w:r>
    </w:p>
    <w:p>
      <w:pPr>
        <w:spacing w:after="0" w:line="480" w:lineRule="auto"/>
        <w:jc w:val="both"/>
        <w:rPr>
          <w:rFonts w:ascii="Times New Roman" w:hAnsi="Times New Roman" w:cs="Times New Roman"/>
          <w:iCs/>
          <w:sz w:val="24"/>
          <w:szCs w:val="24"/>
        </w:rPr>
      </w:pPr>
      <w:r>
        <w:rPr>
          <w:rFonts w:ascii="Times New Roman" w:hAnsi="Times New Roman" w:cs="Times New Roman"/>
          <w:b/>
          <w:bCs/>
          <w:iCs/>
          <w:sz w:val="24"/>
          <w:szCs w:val="24"/>
          <w:lang w:val="en-GB"/>
        </w:rPr>
        <w:lastRenderedPageBreak/>
        <w:t>Table S3.</w:t>
      </w:r>
      <w:r>
        <w:rPr>
          <w:rFonts w:ascii="Times New Roman" w:hAnsi="Times New Roman" w:cs="Times New Roman"/>
          <w:iCs/>
          <w:sz w:val="24"/>
          <w:szCs w:val="24"/>
          <w:lang w:val="en-GB"/>
        </w:rPr>
        <w:t xml:space="preserve"> </w:t>
      </w:r>
      <w:bookmarkStart w:id="5" w:name="_Hlk148615500"/>
      <w:r>
        <w:rPr>
          <w:rFonts w:ascii="Times New Roman" w:hAnsi="Times New Roman" w:cs="Times New Roman"/>
          <w:iCs/>
          <w:sz w:val="24"/>
          <w:szCs w:val="24"/>
          <w:lang w:val="en-GB"/>
        </w:rPr>
        <w:t>HHV, solid yield, carbon yield, hydrogen yield, energy yield, DC, DH, DO, ARE, CE, enhancement factor and atomic ratios of the DT of WCPR samples as compared to the WCPR.</w:t>
      </w:r>
      <w:bookmarkEnd w:id="5"/>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51"/>
        <w:gridCol w:w="539"/>
        <w:gridCol w:w="574"/>
        <w:gridCol w:w="772"/>
        <w:gridCol w:w="817"/>
        <w:gridCol w:w="947"/>
        <w:gridCol w:w="1147"/>
        <w:gridCol w:w="951"/>
        <w:gridCol w:w="657"/>
        <w:gridCol w:w="668"/>
        <w:gridCol w:w="668"/>
        <w:gridCol w:w="754"/>
        <w:gridCol w:w="566"/>
        <w:gridCol w:w="584"/>
        <w:gridCol w:w="584"/>
        <w:gridCol w:w="566"/>
        <w:gridCol w:w="615"/>
      </w:tblGrid>
      <w:tr>
        <w:trPr>
          <w:trHeight w:val="477"/>
          <w:jc w:val="center"/>
        </w:trPr>
        <w:tc>
          <w:tcPr>
            <w:tcW w:w="0" w:type="auto"/>
            <w:vMerge w:val="restart"/>
            <w:tcBorders>
              <w:top w:val="single" w:sz="4" w:space="0" w:color="auto"/>
              <w:bottom w:val="single" w:sz="4" w:space="0" w:color="auto"/>
            </w:tcBorders>
            <w:vAlign w:val="center"/>
          </w:tcPr>
          <w:p>
            <w:pPr>
              <w:spacing w:line="360" w:lineRule="auto"/>
              <w:jc w:val="center"/>
              <w:rPr>
                <w:rFonts w:ascii="Times New Roman" w:hAnsi="Times New Roman" w:cs="Times New Roman"/>
                <w:b/>
                <w:bCs/>
                <w:sz w:val="20"/>
                <w:szCs w:val="20"/>
                <w:lang w:val="en-GB"/>
              </w:rPr>
            </w:pPr>
            <w:bookmarkStart w:id="6" w:name="_Hlk148357946"/>
            <w:r>
              <w:rPr>
                <w:rFonts w:ascii="Times New Roman" w:hAnsi="Times New Roman" w:cs="Times New Roman"/>
                <w:b/>
                <w:bCs/>
                <w:sz w:val="20"/>
                <w:szCs w:val="20"/>
                <w:lang w:val="en-GB"/>
              </w:rPr>
              <w:t>Samples</w:t>
            </w:r>
          </w:p>
        </w:tc>
        <w:tc>
          <w:tcPr>
            <w:tcW w:w="0" w:type="auto"/>
            <w:vMerge w:val="restart"/>
            <w:tcBorders>
              <w:top w:val="single" w:sz="4" w:space="0" w:color="auto"/>
              <w:bottom w:val="single" w:sz="4" w:space="0" w:color="auto"/>
            </w:tcBorders>
            <w:vAlign w:val="center"/>
          </w:tcPr>
          <w:p>
            <w:pPr>
              <w:spacing w:line="360" w:lineRule="auto"/>
              <w:jc w:val="center"/>
              <w:rPr>
                <w:rFonts w:ascii="Times New Roman" w:hAnsi="Times New Roman" w:cs="Times New Roman"/>
                <w:b/>
                <w:bCs/>
                <w:sz w:val="20"/>
                <w:szCs w:val="20"/>
                <w:lang w:val="en-GB"/>
              </w:rPr>
            </w:pPr>
            <w:r>
              <w:rPr>
                <w:rFonts w:ascii="Times New Roman" w:hAnsi="Times New Roman" w:cs="Times New Roman"/>
                <w:b/>
                <w:bCs/>
                <w:sz w:val="20"/>
                <w:szCs w:val="20"/>
                <w:lang w:val="en-GB"/>
              </w:rPr>
              <w:t>T, °C</w:t>
            </w:r>
          </w:p>
        </w:tc>
        <w:tc>
          <w:tcPr>
            <w:tcW w:w="0" w:type="auto"/>
            <w:vMerge w:val="restart"/>
            <w:tcBorders>
              <w:top w:val="single" w:sz="4" w:space="0" w:color="auto"/>
              <w:bottom w:val="single" w:sz="4" w:space="0" w:color="auto"/>
            </w:tcBorders>
            <w:vAlign w:val="center"/>
          </w:tcPr>
          <w:p>
            <w:pPr>
              <w:spacing w:line="360" w:lineRule="auto"/>
              <w:jc w:val="center"/>
              <w:rPr>
                <w:rFonts w:ascii="Times New Roman" w:hAnsi="Times New Roman" w:cs="Times New Roman"/>
                <w:b/>
                <w:bCs/>
                <w:sz w:val="20"/>
                <w:szCs w:val="20"/>
                <w:lang w:val="en-GB"/>
              </w:rPr>
            </w:pPr>
            <w:r>
              <w:rPr>
                <w:rFonts w:ascii="Times New Roman" w:hAnsi="Times New Roman" w:cs="Times New Roman"/>
                <w:b/>
                <w:bCs/>
                <w:sz w:val="20"/>
                <w:szCs w:val="20"/>
                <w:lang w:val="en-GB"/>
              </w:rPr>
              <w:t>t, min</w:t>
            </w:r>
          </w:p>
        </w:tc>
        <w:tc>
          <w:tcPr>
            <w:tcW w:w="0" w:type="auto"/>
            <w:vMerge w:val="restart"/>
            <w:tcBorders>
              <w:top w:val="single" w:sz="4" w:space="0" w:color="auto"/>
              <w:bottom w:val="single" w:sz="4" w:space="0" w:color="auto"/>
            </w:tcBorders>
            <w:vAlign w:val="center"/>
          </w:tcPr>
          <w:p>
            <w:pPr>
              <w:spacing w:line="360" w:lineRule="auto"/>
              <w:jc w:val="center"/>
              <w:rPr>
                <w:rFonts w:ascii="Times New Roman" w:hAnsi="Times New Roman" w:cs="Times New Roman"/>
                <w:b/>
                <w:bCs/>
                <w:sz w:val="20"/>
                <w:szCs w:val="20"/>
                <w:lang w:val="en-GB"/>
              </w:rPr>
            </w:pPr>
            <w:r>
              <w:rPr>
                <w:rFonts w:ascii="Times New Roman" w:hAnsi="Times New Roman" w:cs="Times New Roman"/>
                <w:b/>
                <w:bCs/>
                <w:sz w:val="20"/>
                <w:szCs w:val="20"/>
                <w:lang w:val="en-GB"/>
              </w:rPr>
              <w:t>HHV,</w:t>
            </w:r>
          </w:p>
          <w:p>
            <w:pPr>
              <w:spacing w:line="360" w:lineRule="auto"/>
              <w:jc w:val="center"/>
              <w:rPr>
                <w:rFonts w:ascii="Times New Roman" w:hAnsi="Times New Roman" w:cs="Times New Roman"/>
                <w:b/>
                <w:bCs/>
                <w:sz w:val="20"/>
                <w:szCs w:val="20"/>
                <w:lang w:val="en-GB"/>
              </w:rPr>
            </w:pPr>
            <w:r>
              <w:rPr>
                <w:rFonts w:ascii="Times New Roman" w:hAnsi="Times New Roman" w:cs="Times New Roman"/>
                <w:b/>
                <w:bCs/>
                <w:sz w:val="20"/>
                <w:szCs w:val="20"/>
                <w:lang w:val="en-GB"/>
              </w:rPr>
              <w:t>MJ/kg</w:t>
            </w:r>
          </w:p>
        </w:tc>
        <w:tc>
          <w:tcPr>
            <w:tcW w:w="0" w:type="auto"/>
            <w:vMerge w:val="restart"/>
            <w:tcBorders>
              <w:top w:val="single" w:sz="4" w:space="0" w:color="auto"/>
              <w:bottom w:val="single" w:sz="4" w:space="0" w:color="auto"/>
            </w:tcBorders>
            <w:vAlign w:val="center"/>
          </w:tcPr>
          <w:p>
            <w:pPr>
              <w:spacing w:line="360" w:lineRule="auto"/>
              <w:jc w:val="center"/>
              <w:rPr>
                <w:rFonts w:ascii="Times New Roman" w:hAnsi="Times New Roman" w:cs="Times New Roman"/>
                <w:b/>
                <w:bCs/>
                <w:sz w:val="20"/>
                <w:szCs w:val="20"/>
                <w:lang w:val="en-GB"/>
              </w:rPr>
            </w:pPr>
            <w:r>
              <w:rPr>
                <w:rFonts w:ascii="Times New Roman" w:hAnsi="Times New Roman" w:cs="Times New Roman"/>
                <w:b/>
                <w:bCs/>
                <w:sz w:val="20"/>
                <w:szCs w:val="20"/>
                <w:lang w:val="en-GB"/>
              </w:rPr>
              <w:t xml:space="preserve">Solid yield, </w:t>
            </w:r>
            <w:proofErr w:type="spellStart"/>
            <w:r>
              <w:rPr>
                <w:rFonts w:ascii="Times New Roman" w:hAnsi="Times New Roman" w:cs="Times New Roman"/>
                <w:b/>
                <w:bCs/>
                <w:sz w:val="20"/>
                <w:szCs w:val="20"/>
                <w:lang w:val="en-GB"/>
              </w:rPr>
              <w:t>wt</w:t>
            </w:r>
            <w:proofErr w:type="spellEnd"/>
            <w:r>
              <w:rPr>
                <w:rFonts w:ascii="Times New Roman" w:hAnsi="Times New Roman" w:cs="Times New Roman"/>
                <w:b/>
                <w:bCs/>
                <w:sz w:val="20"/>
                <w:szCs w:val="20"/>
                <w:lang w:val="en-GB"/>
              </w:rPr>
              <w:t>%</w:t>
            </w:r>
          </w:p>
        </w:tc>
        <w:tc>
          <w:tcPr>
            <w:tcW w:w="0" w:type="auto"/>
            <w:vMerge w:val="restart"/>
            <w:tcBorders>
              <w:top w:val="single" w:sz="4" w:space="0" w:color="auto"/>
              <w:bottom w:val="single" w:sz="4" w:space="0" w:color="auto"/>
            </w:tcBorders>
            <w:vAlign w:val="center"/>
          </w:tcPr>
          <w:p>
            <w:pPr>
              <w:spacing w:line="360" w:lineRule="auto"/>
              <w:jc w:val="center"/>
              <w:rPr>
                <w:rFonts w:ascii="Times New Roman" w:hAnsi="Times New Roman" w:cs="Times New Roman"/>
                <w:b/>
                <w:bCs/>
                <w:sz w:val="20"/>
                <w:szCs w:val="20"/>
                <w:lang w:val="en-GB"/>
              </w:rPr>
            </w:pPr>
            <w:r>
              <w:rPr>
                <w:rFonts w:ascii="Times New Roman" w:hAnsi="Times New Roman" w:cs="Times New Roman"/>
                <w:b/>
                <w:bCs/>
                <w:sz w:val="20"/>
                <w:szCs w:val="20"/>
                <w:lang w:val="en-GB"/>
              </w:rPr>
              <w:t>Carbon yield,</w:t>
            </w:r>
          </w:p>
          <w:p>
            <w:pPr>
              <w:spacing w:line="360" w:lineRule="auto"/>
              <w:jc w:val="center"/>
              <w:rPr>
                <w:rFonts w:ascii="Times New Roman" w:hAnsi="Times New Roman" w:cs="Times New Roman"/>
                <w:b/>
                <w:bCs/>
                <w:sz w:val="20"/>
                <w:szCs w:val="20"/>
                <w:lang w:val="en-GB"/>
              </w:rPr>
            </w:pPr>
            <w:proofErr w:type="spellStart"/>
            <w:r>
              <w:rPr>
                <w:rFonts w:ascii="Times New Roman" w:hAnsi="Times New Roman" w:cs="Times New Roman"/>
                <w:b/>
                <w:bCs/>
                <w:sz w:val="20"/>
                <w:szCs w:val="20"/>
                <w:lang w:val="en-GB"/>
              </w:rPr>
              <w:t>wt</w:t>
            </w:r>
            <w:proofErr w:type="spellEnd"/>
            <w:r>
              <w:rPr>
                <w:rFonts w:ascii="Times New Roman" w:hAnsi="Times New Roman" w:cs="Times New Roman"/>
                <w:b/>
                <w:bCs/>
                <w:sz w:val="20"/>
                <w:szCs w:val="20"/>
                <w:lang w:val="en-GB"/>
              </w:rPr>
              <w:t>%</w:t>
            </w:r>
          </w:p>
        </w:tc>
        <w:tc>
          <w:tcPr>
            <w:tcW w:w="0" w:type="auto"/>
            <w:vMerge w:val="restart"/>
            <w:tcBorders>
              <w:top w:val="single" w:sz="4" w:space="0" w:color="auto"/>
              <w:bottom w:val="single" w:sz="4" w:space="0" w:color="auto"/>
            </w:tcBorders>
            <w:vAlign w:val="center"/>
          </w:tcPr>
          <w:p>
            <w:pPr>
              <w:spacing w:line="360" w:lineRule="auto"/>
              <w:jc w:val="center"/>
              <w:rPr>
                <w:rFonts w:ascii="Times New Roman" w:hAnsi="Times New Roman" w:cs="Times New Roman"/>
                <w:b/>
                <w:bCs/>
                <w:sz w:val="20"/>
                <w:szCs w:val="20"/>
                <w:lang w:val="en-GB"/>
              </w:rPr>
            </w:pPr>
            <w:r>
              <w:rPr>
                <w:rFonts w:ascii="Times New Roman" w:hAnsi="Times New Roman" w:cs="Times New Roman"/>
                <w:b/>
                <w:bCs/>
                <w:sz w:val="20"/>
                <w:szCs w:val="20"/>
                <w:lang w:val="en-GB"/>
              </w:rPr>
              <w:t>Hydrogen yield,</w:t>
            </w:r>
          </w:p>
          <w:p>
            <w:pPr>
              <w:spacing w:line="360" w:lineRule="auto"/>
              <w:jc w:val="center"/>
              <w:rPr>
                <w:rFonts w:ascii="Times New Roman" w:hAnsi="Times New Roman" w:cs="Times New Roman"/>
                <w:b/>
                <w:bCs/>
                <w:sz w:val="20"/>
                <w:szCs w:val="20"/>
                <w:lang w:val="en-GB"/>
              </w:rPr>
            </w:pPr>
            <w:proofErr w:type="spellStart"/>
            <w:r>
              <w:rPr>
                <w:rFonts w:ascii="Times New Roman" w:hAnsi="Times New Roman" w:cs="Times New Roman"/>
                <w:b/>
                <w:bCs/>
                <w:sz w:val="20"/>
                <w:szCs w:val="20"/>
                <w:lang w:val="en-GB"/>
              </w:rPr>
              <w:t>wt</w:t>
            </w:r>
            <w:proofErr w:type="spellEnd"/>
            <w:r>
              <w:rPr>
                <w:rFonts w:ascii="Times New Roman" w:hAnsi="Times New Roman" w:cs="Times New Roman"/>
                <w:b/>
                <w:bCs/>
                <w:sz w:val="20"/>
                <w:szCs w:val="20"/>
                <w:lang w:val="en-GB"/>
              </w:rPr>
              <w:t>%</w:t>
            </w:r>
          </w:p>
        </w:tc>
        <w:tc>
          <w:tcPr>
            <w:tcW w:w="0" w:type="auto"/>
            <w:vMerge w:val="restart"/>
            <w:tcBorders>
              <w:top w:val="single" w:sz="4" w:space="0" w:color="auto"/>
              <w:bottom w:val="single" w:sz="4" w:space="0" w:color="auto"/>
            </w:tcBorders>
            <w:vAlign w:val="center"/>
          </w:tcPr>
          <w:p>
            <w:pPr>
              <w:spacing w:line="360" w:lineRule="auto"/>
              <w:jc w:val="center"/>
              <w:rPr>
                <w:rFonts w:ascii="Times New Roman" w:hAnsi="Times New Roman" w:cs="Times New Roman"/>
                <w:b/>
                <w:bCs/>
                <w:sz w:val="20"/>
                <w:szCs w:val="20"/>
                <w:lang w:val="en-GB"/>
              </w:rPr>
            </w:pPr>
            <w:r>
              <w:rPr>
                <w:rFonts w:ascii="Times New Roman" w:hAnsi="Times New Roman" w:cs="Times New Roman"/>
                <w:b/>
                <w:bCs/>
                <w:sz w:val="20"/>
                <w:szCs w:val="20"/>
                <w:lang w:val="en-GB"/>
              </w:rPr>
              <w:t>Energy yield, %</w:t>
            </w:r>
          </w:p>
        </w:tc>
        <w:tc>
          <w:tcPr>
            <w:tcW w:w="0" w:type="auto"/>
            <w:vMerge w:val="restart"/>
            <w:tcBorders>
              <w:top w:val="single" w:sz="4" w:space="0" w:color="auto"/>
              <w:bottom w:val="single" w:sz="4" w:space="0" w:color="auto"/>
            </w:tcBorders>
            <w:vAlign w:val="center"/>
          </w:tcPr>
          <w:p>
            <w:pPr>
              <w:spacing w:line="360" w:lineRule="auto"/>
              <w:jc w:val="center"/>
              <w:rPr>
                <w:rFonts w:ascii="Times New Roman" w:hAnsi="Times New Roman" w:cs="Times New Roman"/>
                <w:b/>
                <w:bCs/>
                <w:sz w:val="20"/>
                <w:szCs w:val="20"/>
                <w:lang w:val="en-GB"/>
              </w:rPr>
            </w:pPr>
            <w:r>
              <w:rPr>
                <w:rFonts w:ascii="Times New Roman" w:hAnsi="Times New Roman" w:cs="Times New Roman"/>
                <w:b/>
                <w:bCs/>
                <w:sz w:val="20"/>
                <w:szCs w:val="20"/>
                <w:lang w:val="en-GB"/>
              </w:rPr>
              <w:t>DC</w:t>
            </w:r>
            <w:r>
              <w:rPr>
                <w:rFonts w:ascii="Times New Roman" w:hAnsi="Times New Roman" w:cs="Times New Roman"/>
                <w:b/>
                <w:bCs/>
                <w:sz w:val="20"/>
                <w:szCs w:val="20"/>
                <w:vertAlign w:val="superscript"/>
                <w:lang w:val="en-GB"/>
              </w:rPr>
              <w:t>1</w:t>
            </w:r>
            <w:r>
              <w:rPr>
                <w:rFonts w:ascii="Times New Roman" w:hAnsi="Times New Roman" w:cs="Times New Roman"/>
                <w:b/>
                <w:bCs/>
                <w:sz w:val="20"/>
                <w:szCs w:val="20"/>
                <w:lang w:val="en-GB"/>
              </w:rPr>
              <w:t>, %</w:t>
            </w:r>
          </w:p>
        </w:tc>
        <w:tc>
          <w:tcPr>
            <w:tcW w:w="0" w:type="auto"/>
            <w:vMerge w:val="restart"/>
            <w:tcBorders>
              <w:top w:val="single" w:sz="4" w:space="0" w:color="auto"/>
              <w:bottom w:val="single" w:sz="4" w:space="0" w:color="auto"/>
            </w:tcBorders>
            <w:vAlign w:val="center"/>
          </w:tcPr>
          <w:p>
            <w:pPr>
              <w:spacing w:line="360" w:lineRule="auto"/>
              <w:jc w:val="center"/>
              <w:rPr>
                <w:rFonts w:ascii="Times New Roman" w:hAnsi="Times New Roman" w:cs="Times New Roman"/>
                <w:b/>
                <w:bCs/>
                <w:sz w:val="20"/>
                <w:szCs w:val="20"/>
                <w:lang w:val="en-GB"/>
              </w:rPr>
            </w:pPr>
            <w:r>
              <w:rPr>
                <w:rFonts w:ascii="Times New Roman" w:hAnsi="Times New Roman" w:cs="Times New Roman"/>
                <w:b/>
                <w:bCs/>
                <w:sz w:val="20"/>
                <w:szCs w:val="20"/>
                <w:lang w:val="en-GB"/>
              </w:rPr>
              <w:t>DH</w:t>
            </w:r>
            <w:r>
              <w:rPr>
                <w:rFonts w:ascii="Times New Roman" w:hAnsi="Times New Roman" w:cs="Times New Roman"/>
                <w:b/>
                <w:bCs/>
                <w:sz w:val="20"/>
                <w:szCs w:val="20"/>
                <w:vertAlign w:val="superscript"/>
                <w:lang w:val="en-GB"/>
              </w:rPr>
              <w:t>2</w:t>
            </w:r>
            <w:r>
              <w:rPr>
                <w:rFonts w:ascii="Times New Roman" w:hAnsi="Times New Roman" w:cs="Times New Roman"/>
                <w:b/>
                <w:bCs/>
                <w:sz w:val="20"/>
                <w:szCs w:val="20"/>
                <w:lang w:val="en-GB"/>
              </w:rPr>
              <w:t>, %</w:t>
            </w:r>
          </w:p>
        </w:tc>
        <w:tc>
          <w:tcPr>
            <w:tcW w:w="0" w:type="auto"/>
            <w:vMerge w:val="restart"/>
            <w:tcBorders>
              <w:top w:val="single" w:sz="4" w:space="0" w:color="auto"/>
              <w:bottom w:val="single" w:sz="4" w:space="0" w:color="auto"/>
            </w:tcBorders>
            <w:vAlign w:val="center"/>
          </w:tcPr>
          <w:p>
            <w:pPr>
              <w:spacing w:line="360" w:lineRule="auto"/>
              <w:jc w:val="center"/>
              <w:rPr>
                <w:rFonts w:ascii="Times New Roman" w:hAnsi="Times New Roman" w:cs="Times New Roman"/>
                <w:b/>
                <w:bCs/>
                <w:sz w:val="20"/>
                <w:szCs w:val="20"/>
                <w:lang w:val="en-GB"/>
              </w:rPr>
            </w:pPr>
            <w:r>
              <w:rPr>
                <w:rFonts w:ascii="Times New Roman" w:hAnsi="Times New Roman" w:cs="Times New Roman"/>
                <w:b/>
                <w:bCs/>
                <w:sz w:val="20"/>
                <w:szCs w:val="20"/>
                <w:lang w:val="en-GB"/>
              </w:rPr>
              <w:t>DO</w:t>
            </w:r>
            <w:r>
              <w:rPr>
                <w:rFonts w:ascii="Times New Roman" w:hAnsi="Times New Roman" w:cs="Times New Roman"/>
                <w:b/>
                <w:bCs/>
                <w:sz w:val="20"/>
                <w:szCs w:val="20"/>
                <w:vertAlign w:val="superscript"/>
                <w:lang w:val="en-GB"/>
              </w:rPr>
              <w:t>3</w:t>
            </w:r>
            <w:r>
              <w:rPr>
                <w:rFonts w:ascii="Times New Roman" w:hAnsi="Times New Roman" w:cs="Times New Roman"/>
                <w:b/>
                <w:bCs/>
                <w:sz w:val="20"/>
                <w:szCs w:val="20"/>
                <w:lang w:val="en-GB"/>
              </w:rPr>
              <w:t>, %</w:t>
            </w:r>
          </w:p>
        </w:tc>
        <w:tc>
          <w:tcPr>
            <w:tcW w:w="0" w:type="auto"/>
            <w:vMerge w:val="restart"/>
            <w:tcBorders>
              <w:top w:val="single" w:sz="4" w:space="0" w:color="auto"/>
              <w:bottom w:val="single" w:sz="4" w:space="0" w:color="auto"/>
            </w:tcBorders>
            <w:vAlign w:val="center"/>
          </w:tcPr>
          <w:p>
            <w:pPr>
              <w:spacing w:line="360" w:lineRule="auto"/>
              <w:jc w:val="center"/>
              <w:rPr>
                <w:rFonts w:ascii="Times New Roman" w:hAnsi="Times New Roman" w:cs="Times New Roman"/>
                <w:b/>
                <w:bCs/>
                <w:sz w:val="20"/>
                <w:szCs w:val="20"/>
                <w:lang w:val="en-GB"/>
              </w:rPr>
            </w:pPr>
            <w:r>
              <w:rPr>
                <w:rFonts w:ascii="Times New Roman" w:hAnsi="Times New Roman" w:cs="Times New Roman"/>
                <w:b/>
                <w:bCs/>
                <w:sz w:val="20"/>
                <w:szCs w:val="20"/>
                <w:lang w:val="en-GB"/>
              </w:rPr>
              <w:t>ARE</w:t>
            </w:r>
            <w:r>
              <w:rPr>
                <w:rFonts w:ascii="Times New Roman" w:hAnsi="Times New Roman" w:cs="Times New Roman"/>
                <w:b/>
                <w:bCs/>
                <w:sz w:val="20"/>
                <w:szCs w:val="20"/>
                <w:vertAlign w:val="superscript"/>
                <w:lang w:val="en-GB"/>
              </w:rPr>
              <w:t>4</w:t>
            </w:r>
            <w:r>
              <w:rPr>
                <w:rFonts w:ascii="Times New Roman" w:hAnsi="Times New Roman" w:cs="Times New Roman"/>
                <w:b/>
                <w:bCs/>
                <w:sz w:val="20"/>
                <w:szCs w:val="20"/>
                <w:lang w:val="en-GB"/>
              </w:rPr>
              <w:t>,</w:t>
            </w:r>
          </w:p>
          <w:p>
            <w:pPr>
              <w:spacing w:line="360" w:lineRule="auto"/>
              <w:jc w:val="center"/>
              <w:rPr>
                <w:rFonts w:ascii="Times New Roman" w:hAnsi="Times New Roman" w:cs="Times New Roman"/>
                <w:b/>
                <w:bCs/>
                <w:sz w:val="20"/>
                <w:szCs w:val="20"/>
                <w:lang w:val="en-GB"/>
              </w:rPr>
            </w:pPr>
            <w:r>
              <w:rPr>
                <w:rFonts w:ascii="Times New Roman" w:hAnsi="Times New Roman" w:cs="Times New Roman"/>
                <w:b/>
                <w:bCs/>
                <w:sz w:val="20"/>
                <w:szCs w:val="20"/>
                <w:lang w:val="en-GB"/>
              </w:rPr>
              <w:t>%</w:t>
            </w:r>
          </w:p>
        </w:tc>
        <w:tc>
          <w:tcPr>
            <w:tcW w:w="0" w:type="auto"/>
            <w:vMerge w:val="restart"/>
            <w:tcBorders>
              <w:top w:val="single" w:sz="4" w:space="0" w:color="auto"/>
              <w:bottom w:val="single" w:sz="4" w:space="0" w:color="auto"/>
            </w:tcBorders>
            <w:vAlign w:val="center"/>
          </w:tcPr>
          <w:p>
            <w:pPr>
              <w:spacing w:line="360" w:lineRule="auto"/>
              <w:jc w:val="center"/>
              <w:rPr>
                <w:rFonts w:ascii="Times New Roman" w:hAnsi="Times New Roman" w:cs="Times New Roman"/>
                <w:b/>
                <w:bCs/>
                <w:sz w:val="20"/>
                <w:szCs w:val="20"/>
                <w:vertAlign w:val="superscript"/>
                <w:lang w:val="en-GB"/>
              </w:rPr>
            </w:pPr>
            <w:r>
              <w:rPr>
                <w:rFonts w:ascii="Times New Roman" w:hAnsi="Times New Roman" w:cs="Times New Roman"/>
                <w:b/>
                <w:bCs/>
                <w:sz w:val="20"/>
                <w:szCs w:val="20"/>
                <w:lang w:val="en-GB"/>
              </w:rPr>
              <w:t>EF</w:t>
            </w:r>
            <w:r>
              <w:rPr>
                <w:rFonts w:ascii="Times New Roman" w:hAnsi="Times New Roman" w:cs="Times New Roman"/>
                <w:b/>
                <w:bCs/>
                <w:sz w:val="20"/>
                <w:szCs w:val="20"/>
                <w:vertAlign w:val="superscript"/>
                <w:lang w:val="en-GB"/>
              </w:rPr>
              <w:t>5</w:t>
            </w:r>
          </w:p>
        </w:tc>
        <w:tc>
          <w:tcPr>
            <w:tcW w:w="0" w:type="auto"/>
            <w:gridSpan w:val="2"/>
            <w:tcBorders>
              <w:top w:val="single" w:sz="4" w:space="0" w:color="auto"/>
              <w:bottom w:val="single" w:sz="4" w:space="0" w:color="auto"/>
            </w:tcBorders>
            <w:vAlign w:val="center"/>
          </w:tcPr>
          <w:p>
            <w:pPr>
              <w:spacing w:line="360" w:lineRule="auto"/>
              <w:jc w:val="center"/>
              <w:rPr>
                <w:rFonts w:ascii="Times New Roman" w:hAnsi="Times New Roman" w:cs="Times New Roman"/>
                <w:b/>
                <w:bCs/>
                <w:sz w:val="20"/>
                <w:szCs w:val="20"/>
                <w:lang w:val="en-GB"/>
              </w:rPr>
            </w:pPr>
            <w:r>
              <w:rPr>
                <w:rFonts w:ascii="Times New Roman" w:hAnsi="Times New Roman" w:cs="Times New Roman"/>
                <w:b/>
                <w:bCs/>
                <w:sz w:val="20"/>
                <w:szCs w:val="20"/>
                <w:lang w:val="en-GB"/>
              </w:rPr>
              <w:t>Atomic ratio</w:t>
            </w:r>
          </w:p>
        </w:tc>
        <w:tc>
          <w:tcPr>
            <w:tcW w:w="0" w:type="auto"/>
            <w:vMerge w:val="restart"/>
            <w:tcBorders>
              <w:top w:val="single" w:sz="4" w:space="0" w:color="auto"/>
              <w:bottom w:val="single" w:sz="4" w:space="0" w:color="auto"/>
            </w:tcBorders>
            <w:vAlign w:val="center"/>
          </w:tcPr>
          <w:p>
            <w:pPr>
              <w:spacing w:line="360" w:lineRule="auto"/>
              <w:jc w:val="center"/>
              <w:rPr>
                <w:rFonts w:ascii="Times New Roman" w:hAnsi="Times New Roman" w:cs="Times New Roman"/>
                <w:b/>
                <w:bCs/>
                <w:sz w:val="20"/>
                <w:szCs w:val="20"/>
                <w:vertAlign w:val="superscript"/>
              </w:rPr>
            </w:pPr>
            <w:r>
              <w:rPr>
                <w:rFonts w:ascii="Times New Roman" w:hAnsi="Times New Roman" w:cs="Times New Roman"/>
                <w:b/>
                <w:bCs/>
                <w:sz w:val="20"/>
                <w:szCs w:val="20"/>
              </w:rPr>
              <w:t>CE</w:t>
            </w:r>
            <w:r>
              <w:rPr>
                <w:rFonts w:ascii="Times New Roman" w:hAnsi="Times New Roman" w:cs="Times New Roman"/>
                <w:b/>
                <w:bCs/>
                <w:sz w:val="20"/>
                <w:szCs w:val="20"/>
                <w:vertAlign w:val="superscript"/>
              </w:rPr>
              <w:t>6</w:t>
            </w:r>
          </w:p>
        </w:tc>
        <w:tc>
          <w:tcPr>
            <w:tcW w:w="0" w:type="auto"/>
            <w:vMerge w:val="restart"/>
            <w:tcBorders>
              <w:top w:val="single" w:sz="4" w:space="0" w:color="auto"/>
              <w:bottom w:val="single" w:sz="4" w:space="0" w:color="auto"/>
            </w:tcBorders>
            <w:vAlign w:val="center"/>
          </w:tcPr>
          <w:p>
            <w:pPr>
              <w:spacing w:line="360" w:lineRule="auto"/>
              <w:jc w:val="center"/>
              <w:rPr>
                <w:rFonts w:ascii="Times New Roman" w:hAnsi="Times New Roman" w:cs="Times New Roman"/>
                <w:b/>
                <w:bCs/>
                <w:sz w:val="20"/>
                <w:szCs w:val="20"/>
                <w:vertAlign w:val="superscript"/>
              </w:rPr>
            </w:pPr>
            <w:r>
              <w:rPr>
                <w:rFonts w:ascii="Times New Roman" w:hAnsi="Times New Roman" w:cs="Times New Roman"/>
                <w:b/>
                <w:bCs/>
                <w:sz w:val="20"/>
                <w:szCs w:val="20"/>
              </w:rPr>
              <w:t>WL</w:t>
            </w:r>
            <w:r>
              <w:rPr>
                <w:rFonts w:ascii="Times New Roman" w:hAnsi="Times New Roman" w:cs="Times New Roman"/>
                <w:b/>
                <w:bCs/>
                <w:sz w:val="20"/>
                <w:szCs w:val="20"/>
                <w:vertAlign w:val="superscript"/>
              </w:rPr>
              <w:t>7</w:t>
            </w:r>
          </w:p>
        </w:tc>
      </w:tr>
      <w:tr>
        <w:trPr>
          <w:trHeight w:val="450"/>
          <w:jc w:val="center"/>
        </w:trPr>
        <w:tc>
          <w:tcPr>
            <w:tcW w:w="0" w:type="auto"/>
            <w:vMerge/>
            <w:tcBorders>
              <w:bottom w:val="single" w:sz="4" w:space="0" w:color="auto"/>
            </w:tcBorders>
            <w:vAlign w:val="center"/>
          </w:tcPr>
          <w:p>
            <w:pPr>
              <w:spacing w:line="360" w:lineRule="auto"/>
              <w:jc w:val="center"/>
              <w:rPr>
                <w:rFonts w:ascii="Times New Roman" w:hAnsi="Times New Roman" w:cs="Times New Roman"/>
                <w:b/>
                <w:bCs/>
                <w:sz w:val="20"/>
                <w:szCs w:val="20"/>
                <w:lang w:val="en-GB"/>
              </w:rPr>
            </w:pPr>
          </w:p>
        </w:tc>
        <w:tc>
          <w:tcPr>
            <w:tcW w:w="0" w:type="auto"/>
            <w:vMerge/>
            <w:tcBorders>
              <w:bottom w:val="single" w:sz="4" w:space="0" w:color="auto"/>
            </w:tcBorders>
            <w:vAlign w:val="center"/>
          </w:tcPr>
          <w:p>
            <w:pPr>
              <w:spacing w:line="360" w:lineRule="auto"/>
              <w:jc w:val="center"/>
              <w:rPr>
                <w:rFonts w:ascii="Times New Roman" w:hAnsi="Times New Roman" w:cs="Times New Roman"/>
                <w:b/>
                <w:bCs/>
                <w:sz w:val="20"/>
                <w:szCs w:val="20"/>
                <w:lang w:val="en-GB"/>
              </w:rPr>
            </w:pPr>
          </w:p>
        </w:tc>
        <w:tc>
          <w:tcPr>
            <w:tcW w:w="0" w:type="auto"/>
            <w:vMerge/>
            <w:tcBorders>
              <w:bottom w:val="single" w:sz="4" w:space="0" w:color="auto"/>
            </w:tcBorders>
            <w:vAlign w:val="center"/>
          </w:tcPr>
          <w:p>
            <w:pPr>
              <w:spacing w:line="360" w:lineRule="auto"/>
              <w:jc w:val="center"/>
              <w:rPr>
                <w:rFonts w:ascii="Times New Roman" w:hAnsi="Times New Roman" w:cs="Times New Roman"/>
                <w:b/>
                <w:bCs/>
                <w:sz w:val="20"/>
                <w:szCs w:val="20"/>
                <w:lang w:val="en-GB"/>
              </w:rPr>
            </w:pPr>
          </w:p>
        </w:tc>
        <w:tc>
          <w:tcPr>
            <w:tcW w:w="0" w:type="auto"/>
            <w:vMerge/>
            <w:tcBorders>
              <w:bottom w:val="single" w:sz="4" w:space="0" w:color="auto"/>
            </w:tcBorders>
            <w:vAlign w:val="center"/>
          </w:tcPr>
          <w:p>
            <w:pPr>
              <w:spacing w:line="360" w:lineRule="auto"/>
              <w:jc w:val="center"/>
              <w:rPr>
                <w:rFonts w:ascii="Times New Roman" w:hAnsi="Times New Roman" w:cs="Times New Roman"/>
                <w:b/>
                <w:bCs/>
                <w:sz w:val="20"/>
                <w:szCs w:val="20"/>
                <w:lang w:val="en-GB"/>
              </w:rPr>
            </w:pPr>
          </w:p>
        </w:tc>
        <w:tc>
          <w:tcPr>
            <w:tcW w:w="0" w:type="auto"/>
            <w:vMerge/>
            <w:tcBorders>
              <w:bottom w:val="single" w:sz="4" w:space="0" w:color="auto"/>
            </w:tcBorders>
            <w:vAlign w:val="center"/>
          </w:tcPr>
          <w:p>
            <w:pPr>
              <w:spacing w:line="360" w:lineRule="auto"/>
              <w:jc w:val="center"/>
              <w:rPr>
                <w:rFonts w:ascii="Times New Roman" w:hAnsi="Times New Roman" w:cs="Times New Roman"/>
                <w:b/>
                <w:bCs/>
                <w:sz w:val="20"/>
                <w:szCs w:val="20"/>
                <w:lang w:val="en-GB"/>
              </w:rPr>
            </w:pPr>
          </w:p>
        </w:tc>
        <w:tc>
          <w:tcPr>
            <w:tcW w:w="0" w:type="auto"/>
            <w:vMerge/>
            <w:tcBorders>
              <w:bottom w:val="single" w:sz="4" w:space="0" w:color="auto"/>
            </w:tcBorders>
            <w:vAlign w:val="center"/>
          </w:tcPr>
          <w:p>
            <w:pPr>
              <w:spacing w:line="360" w:lineRule="auto"/>
              <w:jc w:val="center"/>
              <w:rPr>
                <w:rFonts w:ascii="Times New Roman" w:hAnsi="Times New Roman" w:cs="Times New Roman"/>
                <w:b/>
                <w:bCs/>
                <w:sz w:val="20"/>
                <w:szCs w:val="20"/>
                <w:lang w:val="en-GB"/>
              </w:rPr>
            </w:pPr>
          </w:p>
        </w:tc>
        <w:tc>
          <w:tcPr>
            <w:tcW w:w="0" w:type="auto"/>
            <w:vMerge/>
            <w:tcBorders>
              <w:bottom w:val="single" w:sz="4" w:space="0" w:color="auto"/>
            </w:tcBorders>
            <w:vAlign w:val="center"/>
          </w:tcPr>
          <w:p>
            <w:pPr>
              <w:spacing w:line="360" w:lineRule="auto"/>
              <w:jc w:val="center"/>
              <w:rPr>
                <w:rFonts w:ascii="Times New Roman" w:hAnsi="Times New Roman" w:cs="Times New Roman"/>
                <w:b/>
                <w:bCs/>
                <w:sz w:val="20"/>
                <w:szCs w:val="20"/>
                <w:lang w:val="en-GB"/>
              </w:rPr>
            </w:pPr>
          </w:p>
        </w:tc>
        <w:tc>
          <w:tcPr>
            <w:tcW w:w="0" w:type="auto"/>
            <w:vMerge/>
            <w:tcBorders>
              <w:bottom w:val="single" w:sz="4" w:space="0" w:color="auto"/>
            </w:tcBorders>
            <w:vAlign w:val="center"/>
          </w:tcPr>
          <w:p>
            <w:pPr>
              <w:spacing w:line="360" w:lineRule="auto"/>
              <w:jc w:val="center"/>
              <w:rPr>
                <w:rFonts w:ascii="Times New Roman" w:hAnsi="Times New Roman" w:cs="Times New Roman"/>
                <w:b/>
                <w:bCs/>
                <w:sz w:val="20"/>
                <w:szCs w:val="20"/>
                <w:lang w:val="en-GB"/>
              </w:rPr>
            </w:pPr>
          </w:p>
        </w:tc>
        <w:tc>
          <w:tcPr>
            <w:tcW w:w="0" w:type="auto"/>
            <w:vMerge/>
            <w:tcBorders>
              <w:bottom w:val="single" w:sz="4" w:space="0" w:color="auto"/>
            </w:tcBorders>
            <w:vAlign w:val="center"/>
          </w:tcPr>
          <w:p>
            <w:pPr>
              <w:spacing w:line="360" w:lineRule="auto"/>
              <w:jc w:val="center"/>
              <w:rPr>
                <w:rFonts w:ascii="Times New Roman" w:hAnsi="Times New Roman" w:cs="Times New Roman"/>
                <w:b/>
                <w:bCs/>
                <w:sz w:val="20"/>
                <w:szCs w:val="20"/>
                <w:lang w:val="en-GB"/>
              </w:rPr>
            </w:pPr>
          </w:p>
        </w:tc>
        <w:tc>
          <w:tcPr>
            <w:tcW w:w="0" w:type="auto"/>
            <w:vMerge/>
            <w:tcBorders>
              <w:bottom w:val="single" w:sz="4" w:space="0" w:color="auto"/>
            </w:tcBorders>
            <w:vAlign w:val="center"/>
          </w:tcPr>
          <w:p>
            <w:pPr>
              <w:spacing w:line="360" w:lineRule="auto"/>
              <w:jc w:val="center"/>
              <w:rPr>
                <w:rFonts w:ascii="Times New Roman" w:hAnsi="Times New Roman" w:cs="Times New Roman"/>
                <w:b/>
                <w:bCs/>
                <w:sz w:val="20"/>
                <w:szCs w:val="20"/>
                <w:lang w:val="en-GB"/>
              </w:rPr>
            </w:pPr>
          </w:p>
        </w:tc>
        <w:tc>
          <w:tcPr>
            <w:tcW w:w="0" w:type="auto"/>
            <w:vMerge/>
            <w:tcBorders>
              <w:bottom w:val="single" w:sz="4" w:space="0" w:color="auto"/>
            </w:tcBorders>
            <w:vAlign w:val="center"/>
          </w:tcPr>
          <w:p>
            <w:pPr>
              <w:spacing w:line="360" w:lineRule="auto"/>
              <w:jc w:val="center"/>
              <w:rPr>
                <w:rFonts w:ascii="Times New Roman" w:hAnsi="Times New Roman" w:cs="Times New Roman"/>
                <w:b/>
                <w:bCs/>
                <w:sz w:val="20"/>
                <w:szCs w:val="20"/>
                <w:lang w:val="en-GB"/>
              </w:rPr>
            </w:pPr>
          </w:p>
        </w:tc>
        <w:tc>
          <w:tcPr>
            <w:tcW w:w="0" w:type="auto"/>
            <w:vMerge/>
            <w:tcBorders>
              <w:bottom w:val="single" w:sz="4" w:space="0" w:color="auto"/>
            </w:tcBorders>
            <w:vAlign w:val="center"/>
          </w:tcPr>
          <w:p>
            <w:pPr>
              <w:spacing w:line="360" w:lineRule="auto"/>
              <w:jc w:val="center"/>
              <w:rPr>
                <w:rFonts w:ascii="Times New Roman" w:hAnsi="Times New Roman" w:cs="Times New Roman"/>
                <w:b/>
                <w:bCs/>
                <w:sz w:val="20"/>
                <w:szCs w:val="20"/>
                <w:lang w:val="en-GB"/>
              </w:rPr>
            </w:pPr>
          </w:p>
        </w:tc>
        <w:tc>
          <w:tcPr>
            <w:tcW w:w="0" w:type="auto"/>
            <w:vMerge/>
            <w:tcBorders>
              <w:bottom w:val="single" w:sz="4" w:space="0" w:color="auto"/>
            </w:tcBorders>
            <w:vAlign w:val="center"/>
          </w:tcPr>
          <w:p>
            <w:pPr>
              <w:spacing w:line="360" w:lineRule="auto"/>
              <w:jc w:val="center"/>
              <w:rPr>
                <w:rFonts w:ascii="Times New Roman" w:hAnsi="Times New Roman" w:cs="Times New Roman"/>
                <w:b/>
                <w:bCs/>
                <w:sz w:val="20"/>
                <w:szCs w:val="20"/>
                <w:lang w:val="en-GB"/>
              </w:rPr>
            </w:pPr>
          </w:p>
        </w:tc>
        <w:tc>
          <w:tcPr>
            <w:tcW w:w="0" w:type="auto"/>
            <w:tcBorders>
              <w:top w:val="single" w:sz="4" w:space="0" w:color="auto"/>
              <w:bottom w:val="single" w:sz="4" w:space="0" w:color="auto"/>
            </w:tcBorders>
            <w:vAlign w:val="center"/>
          </w:tcPr>
          <w:p>
            <w:pPr>
              <w:spacing w:line="360" w:lineRule="auto"/>
              <w:jc w:val="center"/>
              <w:rPr>
                <w:rFonts w:ascii="Times New Roman" w:hAnsi="Times New Roman" w:cs="Times New Roman"/>
                <w:sz w:val="20"/>
                <w:szCs w:val="20"/>
              </w:rPr>
            </w:pPr>
            <w:r>
              <w:rPr>
                <w:rFonts w:ascii="Times New Roman" w:hAnsi="Times New Roman" w:cs="Times New Roman"/>
                <w:b/>
                <w:bCs/>
                <w:sz w:val="20"/>
                <w:szCs w:val="20"/>
              </w:rPr>
              <w:t>O/C</w:t>
            </w:r>
          </w:p>
        </w:tc>
        <w:tc>
          <w:tcPr>
            <w:tcW w:w="0" w:type="auto"/>
            <w:tcBorders>
              <w:top w:val="single" w:sz="4" w:space="0" w:color="auto"/>
              <w:bottom w:val="single" w:sz="4" w:space="0" w:color="auto"/>
            </w:tcBorders>
            <w:vAlign w:val="center"/>
          </w:tcPr>
          <w:p>
            <w:pPr>
              <w:spacing w:line="360" w:lineRule="auto"/>
              <w:jc w:val="center"/>
              <w:rPr>
                <w:rFonts w:ascii="Times New Roman" w:hAnsi="Times New Roman" w:cs="Times New Roman"/>
                <w:b/>
                <w:bCs/>
                <w:sz w:val="20"/>
                <w:szCs w:val="20"/>
              </w:rPr>
            </w:pPr>
            <w:r>
              <w:rPr>
                <w:rFonts w:ascii="Times New Roman" w:hAnsi="Times New Roman" w:cs="Times New Roman"/>
                <w:b/>
                <w:bCs/>
                <w:sz w:val="20"/>
                <w:szCs w:val="20"/>
              </w:rPr>
              <w:t>H/C</w:t>
            </w:r>
          </w:p>
        </w:tc>
        <w:tc>
          <w:tcPr>
            <w:tcW w:w="0" w:type="auto"/>
            <w:vMerge/>
            <w:tcBorders>
              <w:bottom w:val="single" w:sz="4" w:space="0" w:color="auto"/>
            </w:tcBorders>
            <w:vAlign w:val="center"/>
          </w:tcPr>
          <w:p>
            <w:pPr>
              <w:spacing w:line="360" w:lineRule="auto"/>
              <w:jc w:val="center"/>
              <w:rPr>
                <w:rFonts w:ascii="Times New Roman" w:hAnsi="Times New Roman" w:cs="Times New Roman"/>
                <w:b/>
                <w:bCs/>
                <w:sz w:val="20"/>
                <w:szCs w:val="20"/>
              </w:rPr>
            </w:pPr>
          </w:p>
        </w:tc>
        <w:tc>
          <w:tcPr>
            <w:tcW w:w="0" w:type="auto"/>
            <w:vMerge/>
            <w:tcBorders>
              <w:bottom w:val="single" w:sz="4" w:space="0" w:color="auto"/>
            </w:tcBorders>
            <w:vAlign w:val="center"/>
          </w:tcPr>
          <w:p>
            <w:pPr>
              <w:spacing w:line="360" w:lineRule="auto"/>
              <w:jc w:val="center"/>
              <w:rPr>
                <w:rFonts w:ascii="Times New Roman" w:hAnsi="Times New Roman" w:cs="Times New Roman"/>
                <w:b/>
                <w:bCs/>
                <w:sz w:val="20"/>
                <w:szCs w:val="20"/>
              </w:rPr>
            </w:pPr>
          </w:p>
        </w:tc>
      </w:tr>
      <w:tr>
        <w:trPr>
          <w:jc w:val="center"/>
        </w:trPr>
        <w:tc>
          <w:tcPr>
            <w:tcW w:w="0" w:type="auto"/>
            <w:tcBorders>
              <w:top w:val="single" w:sz="4" w:space="0" w:color="auto"/>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WCPR</w:t>
            </w:r>
          </w:p>
        </w:tc>
        <w:tc>
          <w:tcPr>
            <w:tcW w:w="0" w:type="auto"/>
            <w:tcBorders>
              <w:top w:val="single" w:sz="4" w:space="0" w:color="auto"/>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w:t>
            </w:r>
          </w:p>
        </w:tc>
        <w:tc>
          <w:tcPr>
            <w:tcW w:w="0" w:type="auto"/>
            <w:tcBorders>
              <w:top w:val="single" w:sz="4" w:space="0" w:color="auto"/>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w:t>
            </w:r>
          </w:p>
        </w:tc>
        <w:tc>
          <w:tcPr>
            <w:tcW w:w="0" w:type="auto"/>
            <w:tcBorders>
              <w:top w:val="single" w:sz="4" w:space="0" w:color="auto"/>
            </w:tcBorders>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19.2</w:t>
            </w:r>
          </w:p>
        </w:tc>
        <w:tc>
          <w:tcPr>
            <w:tcW w:w="0" w:type="auto"/>
            <w:tcBorders>
              <w:top w:val="single" w:sz="4" w:space="0" w:color="auto"/>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w:t>
            </w:r>
          </w:p>
        </w:tc>
        <w:tc>
          <w:tcPr>
            <w:tcW w:w="0" w:type="auto"/>
            <w:tcBorders>
              <w:top w:val="single" w:sz="4" w:space="0" w:color="auto"/>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w:t>
            </w:r>
          </w:p>
        </w:tc>
        <w:tc>
          <w:tcPr>
            <w:tcW w:w="0" w:type="auto"/>
            <w:tcBorders>
              <w:top w:val="single" w:sz="4" w:space="0" w:color="auto"/>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w:t>
            </w:r>
          </w:p>
        </w:tc>
        <w:tc>
          <w:tcPr>
            <w:tcW w:w="0" w:type="auto"/>
            <w:tcBorders>
              <w:top w:val="single" w:sz="4" w:space="0" w:color="auto"/>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w:t>
            </w:r>
          </w:p>
        </w:tc>
        <w:tc>
          <w:tcPr>
            <w:tcW w:w="0" w:type="auto"/>
            <w:tcBorders>
              <w:top w:val="single" w:sz="4" w:space="0" w:color="auto"/>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w:t>
            </w:r>
          </w:p>
        </w:tc>
        <w:tc>
          <w:tcPr>
            <w:tcW w:w="0" w:type="auto"/>
            <w:tcBorders>
              <w:top w:val="single" w:sz="4" w:space="0" w:color="auto"/>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w:t>
            </w:r>
          </w:p>
        </w:tc>
        <w:tc>
          <w:tcPr>
            <w:tcW w:w="0" w:type="auto"/>
            <w:tcBorders>
              <w:top w:val="single" w:sz="4" w:space="0" w:color="auto"/>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w:t>
            </w:r>
          </w:p>
        </w:tc>
        <w:tc>
          <w:tcPr>
            <w:tcW w:w="0" w:type="auto"/>
            <w:tcBorders>
              <w:top w:val="single" w:sz="4" w:space="0" w:color="auto"/>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w:t>
            </w:r>
          </w:p>
        </w:tc>
        <w:tc>
          <w:tcPr>
            <w:tcW w:w="0" w:type="auto"/>
            <w:tcBorders>
              <w:top w:val="single" w:sz="4" w:space="0" w:color="auto"/>
            </w:tcBorders>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1.00</w:t>
            </w:r>
          </w:p>
        </w:tc>
        <w:tc>
          <w:tcPr>
            <w:tcW w:w="0" w:type="auto"/>
            <w:tcBorders>
              <w:top w:val="single" w:sz="4" w:space="0" w:color="auto"/>
            </w:tcBorders>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0.6</w:t>
            </w:r>
          </w:p>
        </w:tc>
        <w:tc>
          <w:tcPr>
            <w:tcW w:w="0" w:type="auto"/>
            <w:tcBorders>
              <w:top w:val="single" w:sz="4" w:space="0" w:color="auto"/>
            </w:tcBorders>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1.5</w:t>
            </w:r>
          </w:p>
        </w:tc>
        <w:tc>
          <w:tcPr>
            <w:tcW w:w="0" w:type="auto"/>
            <w:tcBorders>
              <w:top w:val="single" w:sz="4" w:space="0" w:color="auto"/>
            </w:tcBorders>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1.00</w:t>
            </w:r>
          </w:p>
        </w:tc>
        <w:tc>
          <w:tcPr>
            <w:tcW w:w="0" w:type="auto"/>
            <w:tcBorders>
              <w:top w:val="single" w:sz="4" w:space="0" w:color="auto"/>
            </w:tcBorders>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lang w:val="en-GB"/>
              </w:rPr>
              <w:t>−</w:t>
            </w:r>
          </w:p>
        </w:tc>
      </w:tr>
      <w:tr>
        <w:trPr>
          <w:trHeight w:val="271"/>
          <w:jc w:val="center"/>
        </w:trPr>
        <w:tc>
          <w:tcPr>
            <w:tcW w:w="0" w:type="auto"/>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DT_WCPR_210</w:t>
            </w:r>
          </w:p>
        </w:tc>
        <w:tc>
          <w:tcPr>
            <w:tcW w:w="0" w:type="auto"/>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210</w:t>
            </w:r>
          </w:p>
        </w:tc>
        <w:tc>
          <w:tcPr>
            <w:tcW w:w="0" w:type="auto"/>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15</w:t>
            </w:r>
          </w:p>
        </w:tc>
        <w:tc>
          <w:tcPr>
            <w:tcW w:w="0" w:type="auto"/>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19.9</w:t>
            </w:r>
          </w:p>
        </w:tc>
        <w:tc>
          <w:tcPr>
            <w:tcW w:w="0" w:type="auto"/>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94.4</w:t>
            </w:r>
          </w:p>
        </w:tc>
        <w:tc>
          <w:tcPr>
            <w:tcW w:w="0" w:type="auto"/>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97.9</w:t>
            </w:r>
          </w:p>
        </w:tc>
        <w:tc>
          <w:tcPr>
            <w:tcW w:w="0" w:type="auto"/>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90.7</w:t>
            </w:r>
          </w:p>
        </w:tc>
        <w:tc>
          <w:tcPr>
            <w:tcW w:w="0" w:type="auto"/>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97.9</w:t>
            </w:r>
          </w:p>
        </w:tc>
        <w:tc>
          <w:tcPr>
            <w:tcW w:w="0" w:type="auto"/>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2.1</w:t>
            </w:r>
          </w:p>
        </w:tc>
        <w:tc>
          <w:tcPr>
            <w:tcW w:w="0" w:type="auto"/>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9.3</w:t>
            </w:r>
          </w:p>
        </w:tc>
        <w:tc>
          <w:tcPr>
            <w:tcW w:w="0" w:type="auto"/>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15.5</w:t>
            </w:r>
          </w:p>
        </w:tc>
        <w:tc>
          <w:tcPr>
            <w:tcW w:w="0" w:type="auto"/>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18.3</w:t>
            </w:r>
          </w:p>
        </w:tc>
        <w:tc>
          <w:tcPr>
            <w:tcW w:w="0" w:type="auto"/>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1.04</w:t>
            </w:r>
          </w:p>
        </w:tc>
        <w:tc>
          <w:tcPr>
            <w:tcW w:w="0" w:type="auto"/>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0.5</w:t>
            </w:r>
          </w:p>
        </w:tc>
        <w:tc>
          <w:tcPr>
            <w:tcW w:w="0" w:type="auto"/>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1.4</w:t>
            </w:r>
          </w:p>
        </w:tc>
        <w:tc>
          <w:tcPr>
            <w:tcW w:w="0" w:type="auto"/>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1.00</w:t>
            </w:r>
          </w:p>
        </w:tc>
        <w:tc>
          <w:tcPr>
            <w:tcW w:w="0" w:type="auto"/>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5.6</w:t>
            </w:r>
          </w:p>
        </w:tc>
      </w:tr>
      <w:tr>
        <w:trPr>
          <w:trHeight w:val="288"/>
          <w:jc w:val="center"/>
        </w:trPr>
        <w:tc>
          <w:tcPr>
            <w:tcW w:w="0" w:type="auto"/>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DT_WCPR_240</w:t>
            </w:r>
          </w:p>
        </w:tc>
        <w:tc>
          <w:tcPr>
            <w:tcW w:w="0" w:type="auto"/>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240</w:t>
            </w:r>
          </w:p>
        </w:tc>
        <w:tc>
          <w:tcPr>
            <w:tcW w:w="0" w:type="auto"/>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15</w:t>
            </w:r>
          </w:p>
        </w:tc>
        <w:tc>
          <w:tcPr>
            <w:tcW w:w="0" w:type="auto"/>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19.7</w:t>
            </w:r>
          </w:p>
        </w:tc>
        <w:tc>
          <w:tcPr>
            <w:tcW w:w="0" w:type="auto"/>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91.4</w:t>
            </w:r>
          </w:p>
        </w:tc>
        <w:tc>
          <w:tcPr>
            <w:tcW w:w="0" w:type="auto"/>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94.1</w:t>
            </w:r>
          </w:p>
        </w:tc>
        <w:tc>
          <w:tcPr>
            <w:tcW w:w="0" w:type="auto"/>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84.8</w:t>
            </w:r>
          </w:p>
        </w:tc>
        <w:tc>
          <w:tcPr>
            <w:tcW w:w="0" w:type="auto"/>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93.8</w:t>
            </w:r>
          </w:p>
        </w:tc>
        <w:tc>
          <w:tcPr>
            <w:tcW w:w="0" w:type="auto"/>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5.9</w:t>
            </w:r>
          </w:p>
        </w:tc>
        <w:tc>
          <w:tcPr>
            <w:tcW w:w="0" w:type="auto"/>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15.2</w:t>
            </w:r>
          </w:p>
        </w:tc>
        <w:tc>
          <w:tcPr>
            <w:tcW w:w="0" w:type="auto"/>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8.2</w:t>
            </w:r>
          </w:p>
        </w:tc>
        <w:tc>
          <w:tcPr>
            <w:tcW w:w="0" w:type="auto"/>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12.5</w:t>
            </w:r>
          </w:p>
        </w:tc>
        <w:tc>
          <w:tcPr>
            <w:tcW w:w="0" w:type="auto"/>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1.03</w:t>
            </w:r>
          </w:p>
        </w:tc>
        <w:tc>
          <w:tcPr>
            <w:tcW w:w="0" w:type="auto"/>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0.6</w:t>
            </w:r>
          </w:p>
        </w:tc>
        <w:tc>
          <w:tcPr>
            <w:tcW w:w="0" w:type="auto"/>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1.4</w:t>
            </w:r>
          </w:p>
        </w:tc>
        <w:tc>
          <w:tcPr>
            <w:tcW w:w="0" w:type="auto"/>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1.04</w:t>
            </w:r>
          </w:p>
        </w:tc>
        <w:tc>
          <w:tcPr>
            <w:tcW w:w="0" w:type="auto"/>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8.6</w:t>
            </w:r>
          </w:p>
        </w:tc>
      </w:tr>
      <w:tr>
        <w:trPr>
          <w:trHeight w:val="265"/>
          <w:jc w:val="center"/>
        </w:trPr>
        <w:tc>
          <w:tcPr>
            <w:tcW w:w="0" w:type="auto"/>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DT_WCPR_270</w:t>
            </w:r>
          </w:p>
        </w:tc>
        <w:tc>
          <w:tcPr>
            <w:tcW w:w="0" w:type="auto"/>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270</w:t>
            </w:r>
          </w:p>
        </w:tc>
        <w:tc>
          <w:tcPr>
            <w:tcW w:w="0" w:type="auto"/>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15</w:t>
            </w:r>
          </w:p>
        </w:tc>
        <w:tc>
          <w:tcPr>
            <w:tcW w:w="0" w:type="auto"/>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21.2</w:t>
            </w:r>
          </w:p>
        </w:tc>
        <w:tc>
          <w:tcPr>
            <w:tcW w:w="0" w:type="auto"/>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81.1</w:t>
            </w:r>
          </w:p>
        </w:tc>
        <w:tc>
          <w:tcPr>
            <w:tcW w:w="0" w:type="auto"/>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89.9</w:t>
            </w:r>
          </w:p>
        </w:tc>
        <w:tc>
          <w:tcPr>
            <w:tcW w:w="0" w:type="auto"/>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71.8</w:t>
            </w:r>
          </w:p>
        </w:tc>
        <w:tc>
          <w:tcPr>
            <w:tcW w:w="0" w:type="auto"/>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89.6</w:t>
            </w:r>
          </w:p>
        </w:tc>
        <w:tc>
          <w:tcPr>
            <w:tcW w:w="0" w:type="auto"/>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10.1</w:t>
            </w:r>
          </w:p>
        </w:tc>
        <w:tc>
          <w:tcPr>
            <w:tcW w:w="0" w:type="auto"/>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28.2</w:t>
            </w:r>
          </w:p>
        </w:tc>
        <w:tc>
          <w:tcPr>
            <w:tcW w:w="0" w:type="auto"/>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27.3</w:t>
            </w:r>
          </w:p>
        </w:tc>
        <w:tc>
          <w:tcPr>
            <w:tcW w:w="0" w:type="auto"/>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33.2</w:t>
            </w:r>
          </w:p>
        </w:tc>
        <w:tc>
          <w:tcPr>
            <w:tcW w:w="0" w:type="auto"/>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1.11</w:t>
            </w:r>
          </w:p>
        </w:tc>
        <w:tc>
          <w:tcPr>
            <w:tcW w:w="0" w:type="auto"/>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0.5</w:t>
            </w:r>
          </w:p>
        </w:tc>
        <w:tc>
          <w:tcPr>
            <w:tcW w:w="0" w:type="auto"/>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1.2</w:t>
            </w:r>
          </w:p>
        </w:tc>
        <w:tc>
          <w:tcPr>
            <w:tcW w:w="0" w:type="auto"/>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1.03</w:t>
            </w:r>
          </w:p>
        </w:tc>
        <w:tc>
          <w:tcPr>
            <w:tcW w:w="0" w:type="auto"/>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18.9</w:t>
            </w:r>
          </w:p>
        </w:tc>
      </w:tr>
      <w:tr>
        <w:trPr>
          <w:trHeight w:val="282"/>
          <w:jc w:val="center"/>
        </w:trPr>
        <w:tc>
          <w:tcPr>
            <w:tcW w:w="0" w:type="auto"/>
            <w:tcBorders>
              <w:bottom w:val="single" w:sz="4" w:space="0" w:color="auto"/>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DT_WCPR_300</w:t>
            </w:r>
          </w:p>
        </w:tc>
        <w:tc>
          <w:tcPr>
            <w:tcW w:w="0" w:type="auto"/>
            <w:tcBorders>
              <w:bottom w:val="single" w:sz="4" w:space="0" w:color="auto"/>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300</w:t>
            </w:r>
          </w:p>
        </w:tc>
        <w:tc>
          <w:tcPr>
            <w:tcW w:w="0" w:type="auto"/>
            <w:tcBorders>
              <w:bottom w:val="single" w:sz="4" w:space="0" w:color="auto"/>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15</w:t>
            </w:r>
          </w:p>
        </w:tc>
        <w:tc>
          <w:tcPr>
            <w:tcW w:w="0" w:type="auto"/>
            <w:tcBorders>
              <w:bottom w:val="single" w:sz="4" w:space="0" w:color="auto"/>
            </w:tcBorders>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24.6</w:t>
            </w:r>
          </w:p>
        </w:tc>
        <w:tc>
          <w:tcPr>
            <w:tcW w:w="0" w:type="auto"/>
            <w:tcBorders>
              <w:bottom w:val="single" w:sz="4" w:space="0" w:color="auto"/>
            </w:tcBorders>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61.0</w:t>
            </w:r>
          </w:p>
        </w:tc>
        <w:tc>
          <w:tcPr>
            <w:tcW w:w="0" w:type="auto"/>
            <w:tcBorders>
              <w:bottom w:val="single" w:sz="4" w:space="0" w:color="auto"/>
            </w:tcBorders>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78.5</w:t>
            </w:r>
          </w:p>
        </w:tc>
        <w:tc>
          <w:tcPr>
            <w:tcW w:w="0" w:type="auto"/>
            <w:tcBorders>
              <w:bottom w:val="single" w:sz="4" w:space="0" w:color="auto"/>
            </w:tcBorders>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48.1</w:t>
            </w:r>
          </w:p>
        </w:tc>
        <w:tc>
          <w:tcPr>
            <w:tcW w:w="0" w:type="auto"/>
            <w:tcBorders>
              <w:bottom w:val="single" w:sz="4" w:space="0" w:color="auto"/>
            </w:tcBorders>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78.1</w:t>
            </w:r>
          </w:p>
        </w:tc>
        <w:tc>
          <w:tcPr>
            <w:tcW w:w="0" w:type="auto"/>
            <w:tcBorders>
              <w:bottom w:val="single" w:sz="4" w:space="0" w:color="auto"/>
            </w:tcBorders>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21.5</w:t>
            </w:r>
          </w:p>
        </w:tc>
        <w:tc>
          <w:tcPr>
            <w:tcW w:w="0" w:type="auto"/>
            <w:tcBorders>
              <w:bottom w:val="single" w:sz="4" w:space="0" w:color="auto"/>
            </w:tcBorders>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51.9</w:t>
            </w:r>
          </w:p>
        </w:tc>
        <w:tc>
          <w:tcPr>
            <w:tcW w:w="0" w:type="auto"/>
            <w:tcBorders>
              <w:bottom w:val="single" w:sz="4" w:space="0" w:color="auto"/>
            </w:tcBorders>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56.9</w:t>
            </w:r>
          </w:p>
        </w:tc>
        <w:tc>
          <w:tcPr>
            <w:tcW w:w="0" w:type="auto"/>
            <w:tcBorders>
              <w:bottom w:val="single" w:sz="4" w:space="0" w:color="auto"/>
            </w:tcBorders>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45.4</w:t>
            </w:r>
          </w:p>
        </w:tc>
        <w:tc>
          <w:tcPr>
            <w:tcW w:w="0" w:type="auto"/>
            <w:tcBorders>
              <w:bottom w:val="single" w:sz="4" w:space="0" w:color="auto"/>
            </w:tcBorders>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1.28</w:t>
            </w:r>
          </w:p>
        </w:tc>
        <w:tc>
          <w:tcPr>
            <w:tcW w:w="0" w:type="auto"/>
            <w:tcBorders>
              <w:bottom w:val="single" w:sz="4" w:space="0" w:color="auto"/>
            </w:tcBorders>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0.3</w:t>
            </w:r>
          </w:p>
        </w:tc>
        <w:tc>
          <w:tcPr>
            <w:tcW w:w="0" w:type="auto"/>
            <w:tcBorders>
              <w:bottom w:val="single" w:sz="4" w:space="0" w:color="auto"/>
            </w:tcBorders>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0.9</w:t>
            </w:r>
          </w:p>
        </w:tc>
        <w:tc>
          <w:tcPr>
            <w:tcW w:w="0" w:type="auto"/>
            <w:tcBorders>
              <w:bottom w:val="single" w:sz="4" w:space="0" w:color="auto"/>
            </w:tcBorders>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1.11</w:t>
            </w:r>
          </w:p>
        </w:tc>
        <w:tc>
          <w:tcPr>
            <w:tcW w:w="0" w:type="auto"/>
            <w:tcBorders>
              <w:bottom w:val="single" w:sz="4" w:space="0" w:color="auto"/>
            </w:tcBorders>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39.0</w:t>
            </w:r>
          </w:p>
        </w:tc>
      </w:tr>
      <w:tr>
        <w:trPr>
          <w:trHeight w:val="282"/>
          <w:jc w:val="center"/>
        </w:trPr>
        <w:tc>
          <w:tcPr>
            <w:tcW w:w="0" w:type="auto"/>
            <w:tcBorders>
              <w:top w:val="single" w:sz="4" w:space="0" w:color="auto"/>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DT_WCPR_210</w:t>
            </w:r>
          </w:p>
        </w:tc>
        <w:tc>
          <w:tcPr>
            <w:tcW w:w="0" w:type="auto"/>
            <w:tcBorders>
              <w:top w:val="single" w:sz="4" w:space="0" w:color="auto"/>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210</w:t>
            </w:r>
          </w:p>
        </w:tc>
        <w:tc>
          <w:tcPr>
            <w:tcW w:w="0" w:type="auto"/>
            <w:tcBorders>
              <w:top w:val="single" w:sz="4" w:space="0" w:color="auto"/>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30</w:t>
            </w:r>
          </w:p>
        </w:tc>
        <w:tc>
          <w:tcPr>
            <w:tcW w:w="0" w:type="auto"/>
            <w:tcBorders>
              <w:top w:val="single" w:sz="4" w:space="0" w:color="auto"/>
            </w:tcBorders>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20.1</w:t>
            </w:r>
          </w:p>
        </w:tc>
        <w:tc>
          <w:tcPr>
            <w:tcW w:w="0" w:type="auto"/>
            <w:tcBorders>
              <w:top w:val="single" w:sz="4" w:space="0" w:color="auto"/>
            </w:tcBorders>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94.3</w:t>
            </w:r>
          </w:p>
        </w:tc>
        <w:tc>
          <w:tcPr>
            <w:tcW w:w="0" w:type="auto"/>
            <w:tcBorders>
              <w:top w:val="single" w:sz="4" w:space="0" w:color="auto"/>
            </w:tcBorders>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98.5</w:t>
            </w:r>
          </w:p>
        </w:tc>
        <w:tc>
          <w:tcPr>
            <w:tcW w:w="0" w:type="auto"/>
            <w:tcBorders>
              <w:top w:val="single" w:sz="4" w:space="0" w:color="auto"/>
            </w:tcBorders>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89.9</w:t>
            </w:r>
          </w:p>
        </w:tc>
        <w:tc>
          <w:tcPr>
            <w:tcW w:w="0" w:type="auto"/>
            <w:tcBorders>
              <w:top w:val="single" w:sz="4" w:space="0" w:color="auto"/>
            </w:tcBorders>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98.6</w:t>
            </w:r>
          </w:p>
        </w:tc>
        <w:tc>
          <w:tcPr>
            <w:tcW w:w="0" w:type="auto"/>
            <w:tcBorders>
              <w:top w:val="single" w:sz="4" w:space="0" w:color="auto"/>
            </w:tcBorders>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1.5</w:t>
            </w:r>
          </w:p>
        </w:tc>
        <w:tc>
          <w:tcPr>
            <w:tcW w:w="0" w:type="auto"/>
            <w:tcBorders>
              <w:top w:val="single" w:sz="4" w:space="0" w:color="auto"/>
            </w:tcBorders>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10.1</w:t>
            </w:r>
          </w:p>
        </w:tc>
        <w:tc>
          <w:tcPr>
            <w:tcW w:w="0" w:type="auto"/>
            <w:tcBorders>
              <w:top w:val="single" w:sz="4" w:space="0" w:color="auto"/>
            </w:tcBorders>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11.6</w:t>
            </w:r>
          </w:p>
        </w:tc>
        <w:tc>
          <w:tcPr>
            <w:tcW w:w="0" w:type="auto"/>
            <w:tcBorders>
              <w:top w:val="single" w:sz="4" w:space="0" w:color="auto"/>
            </w:tcBorders>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16.3</w:t>
            </w:r>
          </w:p>
        </w:tc>
        <w:tc>
          <w:tcPr>
            <w:tcW w:w="0" w:type="auto"/>
            <w:tcBorders>
              <w:top w:val="single" w:sz="4" w:space="0" w:color="auto"/>
            </w:tcBorders>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1.05</w:t>
            </w:r>
          </w:p>
        </w:tc>
        <w:tc>
          <w:tcPr>
            <w:tcW w:w="0" w:type="auto"/>
            <w:tcBorders>
              <w:top w:val="single" w:sz="4" w:space="0" w:color="auto"/>
            </w:tcBorders>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0.6</w:t>
            </w:r>
          </w:p>
        </w:tc>
        <w:tc>
          <w:tcPr>
            <w:tcW w:w="0" w:type="auto"/>
            <w:tcBorders>
              <w:top w:val="single" w:sz="4" w:space="0" w:color="auto"/>
            </w:tcBorders>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1.4</w:t>
            </w:r>
          </w:p>
        </w:tc>
        <w:tc>
          <w:tcPr>
            <w:tcW w:w="0" w:type="auto"/>
            <w:tcBorders>
              <w:top w:val="single" w:sz="4" w:space="0" w:color="auto"/>
            </w:tcBorders>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1.05</w:t>
            </w:r>
          </w:p>
        </w:tc>
        <w:tc>
          <w:tcPr>
            <w:tcW w:w="0" w:type="auto"/>
            <w:tcBorders>
              <w:top w:val="single" w:sz="4" w:space="0" w:color="auto"/>
            </w:tcBorders>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5.7</w:t>
            </w:r>
          </w:p>
        </w:tc>
      </w:tr>
      <w:tr>
        <w:trPr>
          <w:trHeight w:val="282"/>
          <w:jc w:val="center"/>
        </w:trPr>
        <w:tc>
          <w:tcPr>
            <w:tcW w:w="0" w:type="auto"/>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DT_WCPR_240</w:t>
            </w:r>
          </w:p>
        </w:tc>
        <w:tc>
          <w:tcPr>
            <w:tcW w:w="0" w:type="auto"/>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240</w:t>
            </w:r>
          </w:p>
        </w:tc>
        <w:tc>
          <w:tcPr>
            <w:tcW w:w="0" w:type="auto"/>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30</w:t>
            </w:r>
          </w:p>
        </w:tc>
        <w:tc>
          <w:tcPr>
            <w:tcW w:w="0" w:type="auto"/>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20.4</w:t>
            </w:r>
          </w:p>
        </w:tc>
        <w:tc>
          <w:tcPr>
            <w:tcW w:w="0" w:type="auto"/>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89.0</w:t>
            </w:r>
          </w:p>
        </w:tc>
        <w:tc>
          <w:tcPr>
            <w:tcW w:w="0" w:type="auto"/>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94.9</w:t>
            </w:r>
          </w:p>
        </w:tc>
        <w:tc>
          <w:tcPr>
            <w:tcW w:w="0" w:type="auto"/>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83.4</w:t>
            </w:r>
          </w:p>
        </w:tc>
        <w:tc>
          <w:tcPr>
            <w:tcW w:w="0" w:type="auto"/>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94.9</w:t>
            </w:r>
          </w:p>
        </w:tc>
        <w:tc>
          <w:tcPr>
            <w:tcW w:w="0" w:type="auto"/>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5.1</w:t>
            </w:r>
          </w:p>
        </w:tc>
        <w:tc>
          <w:tcPr>
            <w:tcW w:w="0" w:type="auto"/>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16.6</w:t>
            </w:r>
          </w:p>
        </w:tc>
        <w:tc>
          <w:tcPr>
            <w:tcW w:w="0" w:type="auto"/>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14.7</w:t>
            </w:r>
          </w:p>
        </w:tc>
        <w:tc>
          <w:tcPr>
            <w:tcW w:w="0" w:type="auto"/>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14.4</w:t>
            </w:r>
          </w:p>
        </w:tc>
        <w:tc>
          <w:tcPr>
            <w:tcW w:w="0" w:type="auto"/>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1.07</w:t>
            </w:r>
          </w:p>
        </w:tc>
        <w:tc>
          <w:tcPr>
            <w:tcW w:w="0" w:type="auto"/>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0.6</w:t>
            </w:r>
          </w:p>
        </w:tc>
        <w:tc>
          <w:tcPr>
            <w:tcW w:w="0" w:type="auto"/>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1.4</w:t>
            </w:r>
          </w:p>
        </w:tc>
        <w:tc>
          <w:tcPr>
            <w:tcW w:w="0" w:type="auto"/>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1.07</w:t>
            </w:r>
          </w:p>
        </w:tc>
        <w:tc>
          <w:tcPr>
            <w:tcW w:w="0" w:type="auto"/>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11.0</w:t>
            </w:r>
          </w:p>
        </w:tc>
      </w:tr>
      <w:tr>
        <w:trPr>
          <w:trHeight w:val="282"/>
          <w:jc w:val="center"/>
        </w:trPr>
        <w:tc>
          <w:tcPr>
            <w:tcW w:w="0" w:type="auto"/>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DT_WCPR_270</w:t>
            </w:r>
          </w:p>
        </w:tc>
        <w:tc>
          <w:tcPr>
            <w:tcW w:w="0" w:type="auto"/>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270</w:t>
            </w:r>
          </w:p>
        </w:tc>
        <w:tc>
          <w:tcPr>
            <w:tcW w:w="0" w:type="auto"/>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30</w:t>
            </w:r>
          </w:p>
        </w:tc>
        <w:tc>
          <w:tcPr>
            <w:tcW w:w="0" w:type="auto"/>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21.9</w:t>
            </w:r>
          </w:p>
        </w:tc>
        <w:tc>
          <w:tcPr>
            <w:tcW w:w="0" w:type="auto"/>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74.5</w:t>
            </w:r>
          </w:p>
        </w:tc>
        <w:tc>
          <w:tcPr>
            <w:tcW w:w="0" w:type="auto"/>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85.4</w:t>
            </w:r>
          </w:p>
        </w:tc>
        <w:tc>
          <w:tcPr>
            <w:tcW w:w="0" w:type="auto"/>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63.8</w:t>
            </w:r>
          </w:p>
        </w:tc>
        <w:tc>
          <w:tcPr>
            <w:tcW w:w="0" w:type="auto"/>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85.0</w:t>
            </w:r>
          </w:p>
        </w:tc>
        <w:tc>
          <w:tcPr>
            <w:tcW w:w="0" w:type="auto"/>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14.6</w:t>
            </w:r>
          </w:p>
        </w:tc>
        <w:tc>
          <w:tcPr>
            <w:tcW w:w="0" w:type="auto"/>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36.2</w:t>
            </w:r>
          </w:p>
        </w:tc>
        <w:tc>
          <w:tcPr>
            <w:tcW w:w="0" w:type="auto"/>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35.4</w:t>
            </w:r>
          </w:p>
        </w:tc>
        <w:tc>
          <w:tcPr>
            <w:tcW w:w="0" w:type="auto"/>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37.6</w:t>
            </w:r>
          </w:p>
        </w:tc>
        <w:tc>
          <w:tcPr>
            <w:tcW w:w="0" w:type="auto"/>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1.14</w:t>
            </w:r>
          </w:p>
        </w:tc>
        <w:tc>
          <w:tcPr>
            <w:tcW w:w="0" w:type="auto"/>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0.5</w:t>
            </w:r>
          </w:p>
        </w:tc>
        <w:tc>
          <w:tcPr>
            <w:tcW w:w="0" w:type="auto"/>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1.2</w:t>
            </w:r>
          </w:p>
        </w:tc>
        <w:tc>
          <w:tcPr>
            <w:tcW w:w="0" w:type="auto"/>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1.15</w:t>
            </w:r>
          </w:p>
        </w:tc>
        <w:tc>
          <w:tcPr>
            <w:tcW w:w="0" w:type="auto"/>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25.5</w:t>
            </w:r>
          </w:p>
        </w:tc>
      </w:tr>
      <w:tr>
        <w:trPr>
          <w:trHeight w:val="282"/>
          <w:jc w:val="center"/>
        </w:trPr>
        <w:tc>
          <w:tcPr>
            <w:tcW w:w="0" w:type="auto"/>
            <w:tcBorders>
              <w:bottom w:val="single" w:sz="4" w:space="0" w:color="auto"/>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DT_WCPR_300</w:t>
            </w:r>
          </w:p>
        </w:tc>
        <w:tc>
          <w:tcPr>
            <w:tcW w:w="0" w:type="auto"/>
            <w:tcBorders>
              <w:bottom w:val="single" w:sz="4" w:space="0" w:color="auto"/>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300</w:t>
            </w:r>
          </w:p>
        </w:tc>
        <w:tc>
          <w:tcPr>
            <w:tcW w:w="0" w:type="auto"/>
            <w:tcBorders>
              <w:bottom w:val="single" w:sz="4" w:space="0" w:color="auto"/>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30</w:t>
            </w:r>
          </w:p>
        </w:tc>
        <w:tc>
          <w:tcPr>
            <w:tcW w:w="0" w:type="auto"/>
            <w:tcBorders>
              <w:bottom w:val="single" w:sz="4" w:space="0" w:color="auto"/>
            </w:tcBorders>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25.4</w:t>
            </w:r>
          </w:p>
        </w:tc>
        <w:tc>
          <w:tcPr>
            <w:tcW w:w="0" w:type="auto"/>
            <w:tcBorders>
              <w:bottom w:val="single" w:sz="4" w:space="0" w:color="auto"/>
            </w:tcBorders>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57.2</w:t>
            </w:r>
          </w:p>
        </w:tc>
        <w:tc>
          <w:tcPr>
            <w:tcW w:w="0" w:type="auto"/>
            <w:tcBorders>
              <w:bottom w:val="single" w:sz="4" w:space="0" w:color="auto"/>
            </w:tcBorders>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76.0</w:t>
            </w:r>
          </w:p>
        </w:tc>
        <w:tc>
          <w:tcPr>
            <w:tcW w:w="0" w:type="auto"/>
            <w:tcBorders>
              <w:bottom w:val="single" w:sz="4" w:space="0" w:color="auto"/>
            </w:tcBorders>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44.0</w:t>
            </w:r>
          </w:p>
        </w:tc>
        <w:tc>
          <w:tcPr>
            <w:tcW w:w="0" w:type="auto"/>
            <w:tcBorders>
              <w:bottom w:val="single" w:sz="4" w:space="0" w:color="auto"/>
            </w:tcBorders>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75.7</w:t>
            </w:r>
          </w:p>
        </w:tc>
        <w:tc>
          <w:tcPr>
            <w:tcW w:w="0" w:type="auto"/>
            <w:tcBorders>
              <w:bottom w:val="single" w:sz="4" w:space="0" w:color="auto"/>
            </w:tcBorders>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24.0</w:t>
            </w:r>
          </w:p>
        </w:tc>
        <w:tc>
          <w:tcPr>
            <w:tcW w:w="0" w:type="auto"/>
            <w:tcBorders>
              <w:bottom w:val="single" w:sz="4" w:space="0" w:color="auto"/>
            </w:tcBorders>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56.0</w:t>
            </w:r>
          </w:p>
        </w:tc>
        <w:tc>
          <w:tcPr>
            <w:tcW w:w="0" w:type="auto"/>
            <w:tcBorders>
              <w:bottom w:val="single" w:sz="4" w:space="0" w:color="auto"/>
            </w:tcBorders>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65.1</w:t>
            </w:r>
          </w:p>
        </w:tc>
        <w:tc>
          <w:tcPr>
            <w:tcW w:w="0" w:type="auto"/>
            <w:tcBorders>
              <w:bottom w:val="single" w:sz="4" w:space="0" w:color="auto"/>
            </w:tcBorders>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126.9</w:t>
            </w:r>
          </w:p>
        </w:tc>
        <w:tc>
          <w:tcPr>
            <w:tcW w:w="0" w:type="auto"/>
            <w:tcBorders>
              <w:bottom w:val="single" w:sz="4" w:space="0" w:color="auto"/>
            </w:tcBorders>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1.32</w:t>
            </w:r>
          </w:p>
        </w:tc>
        <w:tc>
          <w:tcPr>
            <w:tcW w:w="0" w:type="auto"/>
            <w:tcBorders>
              <w:bottom w:val="single" w:sz="4" w:space="0" w:color="auto"/>
            </w:tcBorders>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0.3</w:t>
            </w:r>
          </w:p>
        </w:tc>
        <w:tc>
          <w:tcPr>
            <w:tcW w:w="0" w:type="auto"/>
            <w:tcBorders>
              <w:bottom w:val="single" w:sz="4" w:space="0" w:color="auto"/>
            </w:tcBorders>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0.9</w:t>
            </w:r>
          </w:p>
        </w:tc>
        <w:tc>
          <w:tcPr>
            <w:tcW w:w="0" w:type="auto"/>
            <w:tcBorders>
              <w:bottom w:val="single" w:sz="4" w:space="0" w:color="auto"/>
            </w:tcBorders>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1.33</w:t>
            </w:r>
          </w:p>
        </w:tc>
        <w:tc>
          <w:tcPr>
            <w:tcW w:w="0" w:type="auto"/>
            <w:tcBorders>
              <w:bottom w:val="single" w:sz="4" w:space="0" w:color="auto"/>
            </w:tcBorders>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42.8</w:t>
            </w:r>
          </w:p>
        </w:tc>
      </w:tr>
      <w:tr>
        <w:trPr>
          <w:trHeight w:val="282"/>
          <w:jc w:val="center"/>
        </w:trPr>
        <w:tc>
          <w:tcPr>
            <w:tcW w:w="0" w:type="auto"/>
            <w:tcBorders>
              <w:top w:val="single" w:sz="4" w:space="0" w:color="auto"/>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DT_WCPR_210</w:t>
            </w:r>
          </w:p>
        </w:tc>
        <w:tc>
          <w:tcPr>
            <w:tcW w:w="0" w:type="auto"/>
            <w:tcBorders>
              <w:top w:val="single" w:sz="4" w:space="0" w:color="auto"/>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210</w:t>
            </w:r>
          </w:p>
        </w:tc>
        <w:tc>
          <w:tcPr>
            <w:tcW w:w="0" w:type="auto"/>
            <w:tcBorders>
              <w:top w:val="single" w:sz="4" w:space="0" w:color="auto"/>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60</w:t>
            </w:r>
          </w:p>
        </w:tc>
        <w:tc>
          <w:tcPr>
            <w:tcW w:w="0" w:type="auto"/>
            <w:tcBorders>
              <w:top w:val="single" w:sz="4" w:space="0" w:color="auto"/>
            </w:tcBorders>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20.0</w:t>
            </w:r>
          </w:p>
        </w:tc>
        <w:tc>
          <w:tcPr>
            <w:tcW w:w="0" w:type="auto"/>
            <w:tcBorders>
              <w:top w:val="single" w:sz="4" w:space="0" w:color="auto"/>
            </w:tcBorders>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93.6</w:t>
            </w:r>
          </w:p>
        </w:tc>
        <w:tc>
          <w:tcPr>
            <w:tcW w:w="0" w:type="auto"/>
            <w:tcBorders>
              <w:top w:val="single" w:sz="4" w:space="0" w:color="auto"/>
            </w:tcBorders>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97.5</w:t>
            </w:r>
          </w:p>
        </w:tc>
        <w:tc>
          <w:tcPr>
            <w:tcW w:w="0" w:type="auto"/>
            <w:tcBorders>
              <w:top w:val="single" w:sz="4" w:space="0" w:color="auto"/>
            </w:tcBorders>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88.0</w:t>
            </w:r>
          </w:p>
        </w:tc>
        <w:tc>
          <w:tcPr>
            <w:tcW w:w="0" w:type="auto"/>
            <w:tcBorders>
              <w:top w:val="single" w:sz="4" w:space="0" w:color="auto"/>
            </w:tcBorders>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97.3</w:t>
            </w:r>
          </w:p>
        </w:tc>
        <w:tc>
          <w:tcPr>
            <w:tcW w:w="0" w:type="auto"/>
            <w:tcBorders>
              <w:top w:val="single" w:sz="4" w:space="0" w:color="auto"/>
            </w:tcBorders>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2.5</w:t>
            </w:r>
          </w:p>
        </w:tc>
        <w:tc>
          <w:tcPr>
            <w:tcW w:w="0" w:type="auto"/>
            <w:tcBorders>
              <w:top w:val="single" w:sz="4" w:space="0" w:color="auto"/>
            </w:tcBorders>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12.0</w:t>
            </w:r>
          </w:p>
        </w:tc>
        <w:tc>
          <w:tcPr>
            <w:tcW w:w="0" w:type="auto"/>
            <w:tcBorders>
              <w:top w:val="single" w:sz="4" w:space="0" w:color="auto"/>
            </w:tcBorders>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6.5</w:t>
            </w:r>
          </w:p>
        </w:tc>
        <w:tc>
          <w:tcPr>
            <w:tcW w:w="0" w:type="auto"/>
            <w:tcBorders>
              <w:top w:val="single" w:sz="4" w:space="0" w:color="auto"/>
            </w:tcBorders>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7.0</w:t>
            </w:r>
          </w:p>
        </w:tc>
        <w:tc>
          <w:tcPr>
            <w:tcW w:w="0" w:type="auto"/>
            <w:tcBorders>
              <w:top w:val="single" w:sz="4" w:space="0" w:color="auto"/>
            </w:tcBorders>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1.04</w:t>
            </w:r>
          </w:p>
        </w:tc>
        <w:tc>
          <w:tcPr>
            <w:tcW w:w="0" w:type="auto"/>
            <w:tcBorders>
              <w:top w:val="single" w:sz="4" w:space="0" w:color="auto"/>
            </w:tcBorders>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0.6</w:t>
            </w:r>
          </w:p>
        </w:tc>
        <w:tc>
          <w:tcPr>
            <w:tcW w:w="0" w:type="auto"/>
            <w:tcBorders>
              <w:top w:val="single" w:sz="4" w:space="0" w:color="auto"/>
            </w:tcBorders>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1.4</w:t>
            </w:r>
          </w:p>
        </w:tc>
        <w:tc>
          <w:tcPr>
            <w:tcW w:w="0" w:type="auto"/>
            <w:tcBorders>
              <w:top w:val="single" w:sz="4" w:space="0" w:color="auto"/>
            </w:tcBorders>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1.04</w:t>
            </w:r>
          </w:p>
        </w:tc>
        <w:tc>
          <w:tcPr>
            <w:tcW w:w="0" w:type="auto"/>
            <w:tcBorders>
              <w:top w:val="single" w:sz="4" w:space="0" w:color="auto"/>
            </w:tcBorders>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6.4</w:t>
            </w:r>
          </w:p>
        </w:tc>
      </w:tr>
      <w:tr>
        <w:trPr>
          <w:trHeight w:val="282"/>
          <w:jc w:val="center"/>
        </w:trPr>
        <w:tc>
          <w:tcPr>
            <w:tcW w:w="0" w:type="auto"/>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DT_WCPR_240</w:t>
            </w:r>
          </w:p>
        </w:tc>
        <w:tc>
          <w:tcPr>
            <w:tcW w:w="0" w:type="auto"/>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240</w:t>
            </w:r>
          </w:p>
        </w:tc>
        <w:tc>
          <w:tcPr>
            <w:tcW w:w="0" w:type="auto"/>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60</w:t>
            </w:r>
          </w:p>
        </w:tc>
        <w:tc>
          <w:tcPr>
            <w:tcW w:w="0" w:type="auto"/>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20.4</w:t>
            </w:r>
          </w:p>
        </w:tc>
        <w:tc>
          <w:tcPr>
            <w:tcW w:w="0" w:type="auto"/>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87.6</w:t>
            </w:r>
          </w:p>
        </w:tc>
        <w:tc>
          <w:tcPr>
            <w:tcW w:w="0" w:type="auto"/>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93.3</w:t>
            </w:r>
          </w:p>
        </w:tc>
        <w:tc>
          <w:tcPr>
            <w:tcW w:w="0" w:type="auto"/>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79.4</w:t>
            </w:r>
          </w:p>
        </w:tc>
        <w:tc>
          <w:tcPr>
            <w:tcW w:w="0" w:type="auto"/>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93.0</w:t>
            </w:r>
          </w:p>
        </w:tc>
        <w:tc>
          <w:tcPr>
            <w:tcW w:w="0" w:type="auto"/>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6.7</w:t>
            </w:r>
          </w:p>
        </w:tc>
        <w:tc>
          <w:tcPr>
            <w:tcW w:w="0" w:type="auto"/>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20.6</w:t>
            </w:r>
          </w:p>
        </w:tc>
        <w:tc>
          <w:tcPr>
            <w:tcW w:w="0" w:type="auto"/>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16.1</w:t>
            </w:r>
          </w:p>
        </w:tc>
        <w:tc>
          <w:tcPr>
            <w:tcW w:w="0" w:type="auto"/>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16.4</w:t>
            </w:r>
          </w:p>
        </w:tc>
        <w:tc>
          <w:tcPr>
            <w:tcW w:w="0" w:type="auto"/>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1.06</w:t>
            </w:r>
          </w:p>
        </w:tc>
        <w:tc>
          <w:tcPr>
            <w:tcW w:w="0" w:type="auto"/>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0.6</w:t>
            </w:r>
          </w:p>
        </w:tc>
        <w:tc>
          <w:tcPr>
            <w:tcW w:w="0" w:type="auto"/>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1.3</w:t>
            </w:r>
          </w:p>
        </w:tc>
        <w:tc>
          <w:tcPr>
            <w:tcW w:w="0" w:type="auto"/>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1.07</w:t>
            </w:r>
          </w:p>
        </w:tc>
        <w:tc>
          <w:tcPr>
            <w:tcW w:w="0" w:type="auto"/>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12.4</w:t>
            </w:r>
          </w:p>
        </w:tc>
      </w:tr>
      <w:tr>
        <w:trPr>
          <w:trHeight w:val="282"/>
          <w:jc w:val="center"/>
        </w:trPr>
        <w:tc>
          <w:tcPr>
            <w:tcW w:w="0" w:type="auto"/>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DT_WCPR_270</w:t>
            </w:r>
          </w:p>
        </w:tc>
        <w:tc>
          <w:tcPr>
            <w:tcW w:w="0" w:type="auto"/>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270</w:t>
            </w:r>
          </w:p>
        </w:tc>
        <w:tc>
          <w:tcPr>
            <w:tcW w:w="0" w:type="auto"/>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60</w:t>
            </w:r>
          </w:p>
        </w:tc>
        <w:tc>
          <w:tcPr>
            <w:tcW w:w="0" w:type="auto"/>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22.9</w:t>
            </w:r>
          </w:p>
        </w:tc>
        <w:tc>
          <w:tcPr>
            <w:tcW w:w="0" w:type="auto"/>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70.3</w:t>
            </w:r>
          </w:p>
        </w:tc>
        <w:tc>
          <w:tcPr>
            <w:tcW w:w="0" w:type="auto"/>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84.5</w:t>
            </w:r>
          </w:p>
        </w:tc>
        <w:tc>
          <w:tcPr>
            <w:tcW w:w="0" w:type="auto"/>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57.9</w:t>
            </w:r>
          </w:p>
        </w:tc>
        <w:tc>
          <w:tcPr>
            <w:tcW w:w="0" w:type="auto"/>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83.9</w:t>
            </w:r>
          </w:p>
        </w:tc>
        <w:tc>
          <w:tcPr>
            <w:tcW w:w="0" w:type="auto"/>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15.5</w:t>
            </w:r>
          </w:p>
        </w:tc>
        <w:tc>
          <w:tcPr>
            <w:tcW w:w="0" w:type="auto"/>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42.1</w:t>
            </w:r>
          </w:p>
        </w:tc>
        <w:tc>
          <w:tcPr>
            <w:tcW w:w="0" w:type="auto"/>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43.4</w:t>
            </w:r>
          </w:p>
        </w:tc>
        <w:tc>
          <w:tcPr>
            <w:tcW w:w="0" w:type="auto"/>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39.4</w:t>
            </w:r>
          </w:p>
        </w:tc>
        <w:tc>
          <w:tcPr>
            <w:tcW w:w="0" w:type="auto"/>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1.19</w:t>
            </w:r>
          </w:p>
        </w:tc>
        <w:tc>
          <w:tcPr>
            <w:tcW w:w="0" w:type="auto"/>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0.4</w:t>
            </w:r>
          </w:p>
        </w:tc>
        <w:tc>
          <w:tcPr>
            <w:tcW w:w="0" w:type="auto"/>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1.1</w:t>
            </w:r>
          </w:p>
        </w:tc>
        <w:tc>
          <w:tcPr>
            <w:tcW w:w="0" w:type="auto"/>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1.20</w:t>
            </w:r>
          </w:p>
        </w:tc>
        <w:tc>
          <w:tcPr>
            <w:tcW w:w="0" w:type="auto"/>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29.7</w:t>
            </w:r>
          </w:p>
        </w:tc>
      </w:tr>
      <w:tr>
        <w:trPr>
          <w:trHeight w:val="282"/>
          <w:jc w:val="center"/>
        </w:trPr>
        <w:tc>
          <w:tcPr>
            <w:tcW w:w="0" w:type="auto"/>
            <w:tcBorders>
              <w:bottom w:val="single" w:sz="4" w:space="0" w:color="auto"/>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DT_WCPR_300</w:t>
            </w:r>
          </w:p>
        </w:tc>
        <w:tc>
          <w:tcPr>
            <w:tcW w:w="0" w:type="auto"/>
            <w:tcBorders>
              <w:bottom w:val="single" w:sz="4" w:space="0" w:color="auto"/>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300</w:t>
            </w:r>
          </w:p>
        </w:tc>
        <w:tc>
          <w:tcPr>
            <w:tcW w:w="0" w:type="auto"/>
            <w:tcBorders>
              <w:bottom w:val="single" w:sz="4" w:space="0" w:color="auto"/>
            </w:tcBorders>
            <w:vAlign w:val="center"/>
          </w:tcPr>
          <w:p>
            <w:pPr>
              <w:spacing w:line="360" w:lineRule="auto"/>
              <w:jc w:val="center"/>
              <w:rPr>
                <w:rFonts w:ascii="Times New Roman" w:hAnsi="Times New Roman" w:cs="Times New Roman"/>
                <w:sz w:val="20"/>
                <w:szCs w:val="20"/>
                <w:lang w:val="en-GB"/>
              </w:rPr>
            </w:pPr>
            <w:r>
              <w:rPr>
                <w:rFonts w:ascii="Times New Roman" w:hAnsi="Times New Roman" w:cs="Times New Roman"/>
                <w:sz w:val="20"/>
                <w:szCs w:val="20"/>
                <w:lang w:val="en-GB"/>
              </w:rPr>
              <w:t>60</w:t>
            </w:r>
          </w:p>
        </w:tc>
        <w:tc>
          <w:tcPr>
            <w:tcW w:w="0" w:type="auto"/>
            <w:tcBorders>
              <w:bottom w:val="single" w:sz="4" w:space="0" w:color="auto"/>
            </w:tcBorders>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25.6</w:t>
            </w:r>
          </w:p>
        </w:tc>
        <w:tc>
          <w:tcPr>
            <w:tcW w:w="0" w:type="auto"/>
            <w:tcBorders>
              <w:bottom w:val="single" w:sz="4" w:space="0" w:color="auto"/>
            </w:tcBorders>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55.0</w:t>
            </w:r>
          </w:p>
        </w:tc>
        <w:tc>
          <w:tcPr>
            <w:tcW w:w="0" w:type="auto"/>
            <w:tcBorders>
              <w:bottom w:val="single" w:sz="4" w:space="0" w:color="auto"/>
            </w:tcBorders>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74.3</w:t>
            </w:r>
          </w:p>
        </w:tc>
        <w:tc>
          <w:tcPr>
            <w:tcW w:w="0" w:type="auto"/>
            <w:tcBorders>
              <w:bottom w:val="single" w:sz="4" w:space="0" w:color="auto"/>
            </w:tcBorders>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39.8</w:t>
            </w:r>
          </w:p>
        </w:tc>
        <w:tc>
          <w:tcPr>
            <w:tcW w:w="0" w:type="auto"/>
            <w:tcBorders>
              <w:bottom w:val="single" w:sz="4" w:space="0" w:color="auto"/>
            </w:tcBorders>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73.3</w:t>
            </w:r>
          </w:p>
        </w:tc>
        <w:tc>
          <w:tcPr>
            <w:tcW w:w="0" w:type="auto"/>
            <w:tcBorders>
              <w:bottom w:val="single" w:sz="4" w:space="0" w:color="auto"/>
            </w:tcBorders>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25.7</w:t>
            </w:r>
          </w:p>
        </w:tc>
        <w:tc>
          <w:tcPr>
            <w:tcW w:w="0" w:type="auto"/>
            <w:tcBorders>
              <w:bottom w:val="single" w:sz="4" w:space="0" w:color="auto"/>
            </w:tcBorders>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60.2</w:t>
            </w:r>
          </w:p>
        </w:tc>
        <w:tc>
          <w:tcPr>
            <w:tcW w:w="0" w:type="auto"/>
            <w:tcBorders>
              <w:bottom w:val="single" w:sz="4" w:space="0" w:color="auto"/>
            </w:tcBorders>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69.8</w:t>
            </w:r>
          </w:p>
        </w:tc>
        <w:tc>
          <w:tcPr>
            <w:tcW w:w="0" w:type="auto"/>
            <w:tcBorders>
              <w:bottom w:val="single" w:sz="4" w:space="0" w:color="auto"/>
            </w:tcBorders>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175.8</w:t>
            </w:r>
          </w:p>
        </w:tc>
        <w:tc>
          <w:tcPr>
            <w:tcW w:w="0" w:type="auto"/>
            <w:tcBorders>
              <w:bottom w:val="single" w:sz="4" w:space="0" w:color="auto"/>
            </w:tcBorders>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1.33</w:t>
            </w:r>
          </w:p>
        </w:tc>
        <w:tc>
          <w:tcPr>
            <w:tcW w:w="0" w:type="auto"/>
            <w:tcBorders>
              <w:bottom w:val="single" w:sz="4" w:space="0" w:color="auto"/>
            </w:tcBorders>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0.3</w:t>
            </w:r>
          </w:p>
        </w:tc>
        <w:tc>
          <w:tcPr>
            <w:tcW w:w="0" w:type="auto"/>
            <w:tcBorders>
              <w:bottom w:val="single" w:sz="4" w:space="0" w:color="auto"/>
            </w:tcBorders>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0.8</w:t>
            </w:r>
          </w:p>
        </w:tc>
        <w:tc>
          <w:tcPr>
            <w:tcW w:w="0" w:type="auto"/>
            <w:tcBorders>
              <w:bottom w:val="single" w:sz="4" w:space="0" w:color="auto"/>
            </w:tcBorders>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1.35</w:t>
            </w:r>
          </w:p>
        </w:tc>
        <w:tc>
          <w:tcPr>
            <w:tcW w:w="0" w:type="auto"/>
            <w:tcBorders>
              <w:bottom w:val="single" w:sz="4" w:space="0" w:color="auto"/>
            </w:tcBorders>
            <w:vAlign w:val="center"/>
          </w:tcPr>
          <w:p>
            <w:pPr>
              <w:spacing w:line="360" w:lineRule="auto"/>
              <w:jc w:val="center"/>
              <w:rPr>
                <w:rFonts w:ascii="Times New Roman" w:hAnsi="Times New Roman" w:cs="Times New Roman"/>
                <w:sz w:val="20"/>
                <w:szCs w:val="20"/>
              </w:rPr>
            </w:pPr>
            <w:r>
              <w:rPr>
                <w:rFonts w:ascii="Times New Roman" w:hAnsi="Times New Roman" w:cs="Times New Roman"/>
                <w:sz w:val="20"/>
                <w:szCs w:val="20"/>
              </w:rPr>
              <w:t>45.0</w:t>
            </w:r>
          </w:p>
        </w:tc>
      </w:tr>
    </w:tbl>
    <w:p>
      <w:pPr>
        <w:spacing w:after="0" w:line="480" w:lineRule="auto"/>
        <w:jc w:val="both"/>
        <w:rPr>
          <w:rFonts w:ascii="Times New Roman" w:hAnsi="Times New Roman" w:cs="Times New Roman"/>
          <w:iCs/>
          <w:sz w:val="20"/>
          <w:szCs w:val="20"/>
          <w:lang w:val="en-GB"/>
        </w:rPr>
      </w:pPr>
      <w:bookmarkStart w:id="7" w:name="_Hlk148615052"/>
      <w:bookmarkStart w:id="8" w:name="_Hlk171617548"/>
      <w:bookmarkEnd w:id="6"/>
      <w:r>
        <w:rPr>
          <w:rFonts w:ascii="Times New Roman" w:hAnsi="Times New Roman" w:cs="Times New Roman"/>
          <w:iCs/>
          <w:sz w:val="20"/>
          <w:szCs w:val="20"/>
          <w:vertAlign w:val="superscript"/>
        </w:rPr>
        <w:t>1</w:t>
      </w:r>
      <w:r>
        <w:rPr>
          <w:rFonts w:ascii="Times New Roman" w:hAnsi="Times New Roman" w:cs="Times New Roman"/>
          <w:iCs/>
          <w:sz w:val="20"/>
          <w:szCs w:val="20"/>
        </w:rPr>
        <w:t>DC</w:t>
      </w:r>
      <w:r>
        <w:rPr>
          <w:rFonts w:ascii="Times New Roman" w:hAnsi="Times New Roman" w:cs="Times New Roman"/>
          <w:iCs/>
          <w:sz w:val="20"/>
          <w:szCs w:val="20"/>
          <w:lang w:val="en-GB"/>
        </w:rPr>
        <w:t xml:space="preserve"> – decarbonization, </w:t>
      </w:r>
      <w:r>
        <w:rPr>
          <w:rFonts w:ascii="Times New Roman" w:hAnsi="Times New Roman" w:cs="Times New Roman"/>
          <w:iCs/>
          <w:sz w:val="20"/>
          <w:szCs w:val="20"/>
          <w:vertAlign w:val="superscript"/>
          <w:lang w:val="en-GB"/>
        </w:rPr>
        <w:t>2</w:t>
      </w:r>
      <w:r>
        <w:rPr>
          <w:rFonts w:ascii="Times New Roman" w:hAnsi="Times New Roman" w:cs="Times New Roman"/>
          <w:iCs/>
          <w:sz w:val="20"/>
          <w:szCs w:val="20"/>
          <w:lang w:val="en-GB"/>
        </w:rPr>
        <w:t xml:space="preserve">DH – dehydrogenation, </w:t>
      </w:r>
      <w:r>
        <w:rPr>
          <w:rFonts w:ascii="Times New Roman" w:hAnsi="Times New Roman" w:cs="Times New Roman"/>
          <w:iCs/>
          <w:sz w:val="20"/>
          <w:szCs w:val="20"/>
          <w:vertAlign w:val="superscript"/>
          <w:lang w:val="en-GB"/>
        </w:rPr>
        <w:t>3</w:t>
      </w:r>
      <w:r>
        <w:rPr>
          <w:rFonts w:ascii="Times New Roman" w:hAnsi="Times New Roman" w:cs="Times New Roman"/>
          <w:iCs/>
          <w:sz w:val="20"/>
          <w:szCs w:val="20"/>
          <w:lang w:val="en-GB"/>
        </w:rPr>
        <w:t xml:space="preserve">DO – deoxygenation, </w:t>
      </w:r>
      <w:r>
        <w:rPr>
          <w:rFonts w:ascii="Times New Roman" w:hAnsi="Times New Roman" w:cs="Times New Roman"/>
          <w:iCs/>
          <w:sz w:val="20"/>
          <w:szCs w:val="20"/>
          <w:vertAlign w:val="superscript"/>
          <w:lang w:val="en-GB"/>
        </w:rPr>
        <w:t>4</w:t>
      </w:r>
      <w:r>
        <w:rPr>
          <w:rFonts w:ascii="Times New Roman" w:hAnsi="Times New Roman" w:cs="Times New Roman"/>
          <w:iCs/>
          <w:sz w:val="20"/>
          <w:szCs w:val="20"/>
          <w:lang w:val="en-GB"/>
        </w:rPr>
        <w:t xml:space="preserve">ARE – ash removal efficiency, </w:t>
      </w:r>
      <w:r>
        <w:rPr>
          <w:rFonts w:ascii="Times New Roman" w:hAnsi="Times New Roman" w:cs="Times New Roman"/>
          <w:iCs/>
          <w:sz w:val="20"/>
          <w:szCs w:val="20"/>
          <w:vertAlign w:val="superscript"/>
          <w:lang w:val="en-GB"/>
        </w:rPr>
        <w:t>5</w:t>
      </w:r>
      <w:r>
        <w:rPr>
          <w:rFonts w:ascii="Times New Roman" w:hAnsi="Times New Roman" w:cs="Times New Roman"/>
          <w:iCs/>
          <w:sz w:val="20"/>
          <w:szCs w:val="20"/>
          <w:lang w:val="en-GB"/>
        </w:rPr>
        <w:t xml:space="preserve">EF – enhancement factor, </w:t>
      </w:r>
      <w:r>
        <w:rPr>
          <w:rFonts w:ascii="Times New Roman" w:hAnsi="Times New Roman" w:cs="Times New Roman"/>
          <w:iCs/>
          <w:sz w:val="20"/>
          <w:szCs w:val="20"/>
          <w:vertAlign w:val="superscript"/>
          <w:lang w:val="en-GB"/>
        </w:rPr>
        <w:t>6</w:t>
      </w:r>
      <w:r>
        <w:rPr>
          <w:rFonts w:ascii="Times New Roman" w:hAnsi="Times New Roman" w:cs="Times New Roman"/>
          <w:iCs/>
          <w:sz w:val="20"/>
          <w:szCs w:val="20"/>
          <w:lang w:val="en-GB"/>
        </w:rPr>
        <w:t>CE – carbon enrichment</w:t>
      </w:r>
      <w:bookmarkEnd w:id="7"/>
      <w:r>
        <w:rPr>
          <w:rFonts w:ascii="Times New Roman" w:hAnsi="Times New Roman" w:cs="Times New Roman"/>
          <w:iCs/>
          <w:sz w:val="20"/>
          <w:szCs w:val="20"/>
          <w:lang w:val="en-GB"/>
        </w:rPr>
        <w:t xml:space="preserve">, </w:t>
      </w:r>
      <w:r>
        <w:rPr>
          <w:rFonts w:ascii="Times New Roman" w:hAnsi="Times New Roman" w:cs="Times New Roman"/>
          <w:iCs/>
          <w:sz w:val="20"/>
          <w:szCs w:val="20"/>
          <w:vertAlign w:val="superscript"/>
          <w:lang w:val="en-GB"/>
        </w:rPr>
        <w:t>7</w:t>
      </w:r>
      <w:r>
        <w:rPr>
          <w:rFonts w:ascii="Times New Roman" w:hAnsi="Times New Roman" w:cs="Times New Roman"/>
          <w:iCs/>
          <w:sz w:val="20"/>
          <w:szCs w:val="20"/>
          <w:lang w:val="en-GB"/>
        </w:rPr>
        <w:t>WL – weight loss.</w:t>
      </w:r>
    </w:p>
    <w:bookmarkEnd w:id="8"/>
    <w:p>
      <w:pPr>
        <w:rPr>
          <w:rFonts w:ascii="Times New Roman" w:hAnsi="Times New Roman" w:cs="Times New Roman"/>
          <w:b/>
          <w:bCs/>
          <w:iCs/>
          <w:sz w:val="24"/>
          <w:szCs w:val="24"/>
          <w:lang w:val="en-GB"/>
        </w:rPr>
      </w:pPr>
      <w:r>
        <w:rPr>
          <w:rFonts w:ascii="Times New Roman" w:hAnsi="Times New Roman" w:cs="Times New Roman"/>
          <w:b/>
          <w:bCs/>
          <w:iCs/>
          <w:sz w:val="24"/>
          <w:szCs w:val="24"/>
          <w:lang w:val="en-GB"/>
        </w:rPr>
        <w:br w:type="page"/>
      </w:r>
    </w:p>
    <w:p>
      <w:pPr>
        <w:rPr>
          <w:rFonts w:ascii="Times New Roman" w:hAnsi="Times New Roman" w:cs="Times New Roman"/>
          <w:b/>
          <w:bCs/>
          <w:iCs/>
          <w:sz w:val="24"/>
          <w:szCs w:val="24"/>
          <w:lang w:val="en-GB"/>
        </w:rPr>
        <w:sectPr>
          <w:pgSz w:w="15840" w:h="12240" w:orient="landscape"/>
          <w:pgMar w:top="1440" w:right="1440" w:bottom="1440" w:left="1440" w:header="720" w:footer="720" w:gutter="0"/>
          <w:cols w:space="720"/>
          <w:docGrid w:linePitch="360"/>
        </w:sect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00"/>
        <w:gridCol w:w="4536"/>
      </w:tblGrid>
      <w:tr>
        <w:tc>
          <w:tcPr>
            <w:tcW w:w="4545" w:type="dxa"/>
          </w:tcPr>
          <w:p>
            <w:pPr>
              <w:jc w:val="both"/>
              <w:rPr>
                <w:rFonts w:ascii="Times New Roman" w:hAnsi="Times New Roman" w:cs="Times New Roman"/>
                <w:iCs/>
                <w:sz w:val="24"/>
                <w:szCs w:val="24"/>
                <w:highlight w:val="yellow"/>
                <w:lang w:val="en-GB"/>
              </w:rPr>
            </w:pPr>
            <w:r>
              <w:rPr>
                <w:rFonts w:ascii="Times New Roman" w:hAnsi="Times New Roman" w:cs="Times New Roman"/>
                <w:b/>
                <w:bCs/>
                <w:sz w:val="24"/>
                <w:szCs w:val="24"/>
                <w:lang w:val="en-GB"/>
              </w:rPr>
              <w:lastRenderedPageBreak/>
              <w:t>(a)</w:t>
            </w:r>
          </w:p>
        </w:tc>
        <w:tc>
          <w:tcPr>
            <w:tcW w:w="4481" w:type="dxa"/>
          </w:tcPr>
          <w:p>
            <w:pPr>
              <w:jc w:val="both"/>
              <w:rPr>
                <w:rFonts w:ascii="Times New Roman" w:hAnsi="Times New Roman" w:cs="Times New Roman"/>
                <w:iCs/>
                <w:sz w:val="24"/>
                <w:szCs w:val="24"/>
                <w:highlight w:val="yellow"/>
                <w:lang w:val="en-GB"/>
              </w:rPr>
            </w:pPr>
            <w:r>
              <w:rPr>
                <w:rFonts w:ascii="Times New Roman" w:hAnsi="Times New Roman" w:cs="Times New Roman"/>
                <w:b/>
                <w:bCs/>
                <w:sz w:val="24"/>
                <w:szCs w:val="24"/>
                <w:lang w:val="en-GB"/>
              </w:rPr>
              <w:t>(b)</w:t>
            </w:r>
          </w:p>
        </w:tc>
      </w:tr>
      <w:tr>
        <w:tc>
          <w:tcPr>
            <w:tcW w:w="4545" w:type="dxa"/>
          </w:tcPr>
          <w:p>
            <w:pPr>
              <w:jc w:val="both"/>
              <w:rPr>
                <w:rFonts w:ascii="Times New Roman" w:hAnsi="Times New Roman" w:cs="Times New Roman"/>
                <w:iCs/>
                <w:sz w:val="24"/>
                <w:szCs w:val="24"/>
                <w:highlight w:val="yellow"/>
                <w:lang w:val="en-GB"/>
              </w:rPr>
            </w:pPr>
            <w:r>
              <w:rPr>
                <w:noProof/>
              </w:rPr>
              <w:drawing>
                <wp:inline distT="0" distB="0" distL="0" distR="0">
                  <wp:extent cx="2709143" cy="2198370"/>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2720916" cy="2207923"/>
                          </a:xfrm>
                          <a:prstGeom prst="rect">
                            <a:avLst/>
                          </a:prstGeom>
                        </pic:spPr>
                      </pic:pic>
                    </a:graphicData>
                  </a:graphic>
                </wp:inline>
              </w:drawing>
            </w:r>
          </w:p>
        </w:tc>
        <w:tc>
          <w:tcPr>
            <w:tcW w:w="4481" w:type="dxa"/>
          </w:tcPr>
          <w:p>
            <w:pPr>
              <w:jc w:val="both"/>
              <w:rPr>
                <w:rFonts w:ascii="Times New Roman" w:hAnsi="Times New Roman" w:cs="Times New Roman"/>
                <w:iCs/>
                <w:sz w:val="24"/>
                <w:szCs w:val="24"/>
                <w:highlight w:val="yellow"/>
                <w:lang w:val="en-GB"/>
              </w:rPr>
            </w:pPr>
            <w:r>
              <w:rPr>
                <w:noProof/>
              </w:rPr>
              <w:drawing>
                <wp:inline distT="0" distB="0" distL="0" distR="0">
                  <wp:extent cx="2701437" cy="2245360"/>
                  <wp:effectExtent l="0" t="0" r="3810" b="254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2718745" cy="2259746"/>
                          </a:xfrm>
                          <a:prstGeom prst="rect">
                            <a:avLst/>
                          </a:prstGeom>
                        </pic:spPr>
                      </pic:pic>
                    </a:graphicData>
                  </a:graphic>
                </wp:inline>
              </w:drawing>
            </w:r>
          </w:p>
        </w:tc>
      </w:tr>
      <w:tr>
        <w:tc>
          <w:tcPr>
            <w:tcW w:w="4545" w:type="dxa"/>
          </w:tcPr>
          <w:p>
            <w:pPr>
              <w:jc w:val="both"/>
              <w:rPr>
                <w:rFonts w:ascii="Times New Roman" w:hAnsi="Times New Roman" w:cs="Times New Roman"/>
                <w:iCs/>
                <w:sz w:val="24"/>
                <w:szCs w:val="24"/>
                <w:highlight w:val="yellow"/>
                <w:lang w:val="en-GB"/>
              </w:rPr>
            </w:pPr>
            <w:r>
              <w:rPr>
                <w:rFonts w:ascii="Times New Roman" w:hAnsi="Times New Roman" w:cs="Times New Roman"/>
                <w:b/>
                <w:bCs/>
                <w:sz w:val="24"/>
                <w:szCs w:val="24"/>
                <w:lang w:val="en-GB"/>
              </w:rPr>
              <w:t>(c)</w:t>
            </w:r>
          </w:p>
        </w:tc>
        <w:tc>
          <w:tcPr>
            <w:tcW w:w="4481" w:type="dxa"/>
          </w:tcPr>
          <w:p>
            <w:pPr>
              <w:jc w:val="both"/>
              <w:rPr>
                <w:rFonts w:ascii="Times New Roman" w:hAnsi="Times New Roman" w:cs="Times New Roman"/>
                <w:iCs/>
                <w:sz w:val="24"/>
                <w:szCs w:val="24"/>
                <w:highlight w:val="yellow"/>
                <w:lang w:val="en-GB"/>
              </w:rPr>
            </w:pPr>
            <w:r>
              <w:rPr>
                <w:rFonts w:ascii="Times New Roman" w:hAnsi="Times New Roman" w:cs="Times New Roman"/>
                <w:b/>
                <w:bCs/>
                <w:sz w:val="24"/>
                <w:szCs w:val="24"/>
                <w:lang w:val="en-GB"/>
              </w:rPr>
              <w:t>(d)</w:t>
            </w:r>
          </w:p>
        </w:tc>
      </w:tr>
      <w:tr>
        <w:tc>
          <w:tcPr>
            <w:tcW w:w="4545" w:type="dxa"/>
          </w:tcPr>
          <w:p>
            <w:pPr>
              <w:jc w:val="both"/>
              <w:rPr>
                <w:rFonts w:ascii="Times New Roman" w:hAnsi="Times New Roman" w:cs="Times New Roman"/>
                <w:iCs/>
                <w:sz w:val="24"/>
                <w:szCs w:val="24"/>
                <w:highlight w:val="yellow"/>
                <w:lang w:val="en-GB"/>
              </w:rPr>
            </w:pPr>
            <w:r>
              <w:rPr>
                <w:noProof/>
              </w:rPr>
              <w:drawing>
                <wp:inline distT="0" distB="0" distL="0" distR="0">
                  <wp:extent cx="2784143" cy="2208253"/>
                  <wp:effectExtent l="0" t="0" r="0" b="1905"/>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2825523" cy="2241073"/>
                          </a:xfrm>
                          <a:prstGeom prst="rect">
                            <a:avLst/>
                          </a:prstGeom>
                        </pic:spPr>
                      </pic:pic>
                    </a:graphicData>
                  </a:graphic>
                </wp:inline>
              </w:drawing>
            </w:r>
          </w:p>
        </w:tc>
        <w:tc>
          <w:tcPr>
            <w:tcW w:w="4481" w:type="dxa"/>
          </w:tcPr>
          <w:p>
            <w:pPr>
              <w:jc w:val="both"/>
              <w:rPr>
                <w:rFonts w:ascii="Times New Roman" w:hAnsi="Times New Roman" w:cs="Times New Roman"/>
                <w:iCs/>
                <w:sz w:val="24"/>
                <w:szCs w:val="24"/>
                <w:highlight w:val="yellow"/>
                <w:lang w:val="en-GB"/>
              </w:rPr>
            </w:pPr>
            <w:r>
              <w:rPr>
                <w:noProof/>
              </w:rPr>
              <w:drawing>
                <wp:inline distT="0" distB="0" distL="0" distR="0">
                  <wp:extent cx="2721254" cy="2194211"/>
                  <wp:effectExtent l="0" t="0" r="3175"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2738728" cy="2208301"/>
                          </a:xfrm>
                          <a:prstGeom prst="rect">
                            <a:avLst/>
                          </a:prstGeom>
                        </pic:spPr>
                      </pic:pic>
                    </a:graphicData>
                  </a:graphic>
                </wp:inline>
              </w:drawing>
            </w:r>
          </w:p>
        </w:tc>
      </w:tr>
      <w:tr>
        <w:tc>
          <w:tcPr>
            <w:tcW w:w="4545" w:type="dxa"/>
          </w:tcPr>
          <w:p>
            <w:pPr>
              <w:jc w:val="both"/>
              <w:rPr>
                <w:rFonts w:ascii="Times New Roman" w:hAnsi="Times New Roman" w:cs="Times New Roman"/>
                <w:iCs/>
                <w:sz w:val="24"/>
                <w:szCs w:val="24"/>
                <w:highlight w:val="yellow"/>
                <w:lang w:val="en-GB"/>
              </w:rPr>
            </w:pPr>
            <w:r>
              <w:rPr>
                <w:rFonts w:ascii="Times New Roman" w:hAnsi="Times New Roman" w:cs="Times New Roman"/>
                <w:b/>
                <w:bCs/>
                <w:sz w:val="24"/>
                <w:szCs w:val="24"/>
                <w:lang w:val="en-GB"/>
              </w:rPr>
              <w:t>(e)</w:t>
            </w:r>
          </w:p>
        </w:tc>
        <w:tc>
          <w:tcPr>
            <w:tcW w:w="4481" w:type="dxa"/>
          </w:tcPr>
          <w:p>
            <w:pPr>
              <w:jc w:val="both"/>
              <w:rPr>
                <w:rFonts w:ascii="Times New Roman" w:hAnsi="Times New Roman" w:cs="Times New Roman"/>
                <w:iCs/>
                <w:sz w:val="24"/>
                <w:szCs w:val="24"/>
                <w:highlight w:val="yellow"/>
                <w:lang w:val="en-GB"/>
              </w:rPr>
            </w:pPr>
            <w:r>
              <w:rPr>
                <w:rFonts w:ascii="Times New Roman" w:hAnsi="Times New Roman" w:cs="Times New Roman"/>
                <w:b/>
                <w:bCs/>
                <w:sz w:val="24"/>
                <w:szCs w:val="24"/>
                <w:lang w:val="en-GB"/>
              </w:rPr>
              <w:t>(f)</w:t>
            </w:r>
          </w:p>
        </w:tc>
      </w:tr>
      <w:tr>
        <w:tc>
          <w:tcPr>
            <w:tcW w:w="4545" w:type="dxa"/>
          </w:tcPr>
          <w:p>
            <w:pPr>
              <w:jc w:val="both"/>
              <w:rPr>
                <w:rFonts w:ascii="Times New Roman" w:hAnsi="Times New Roman" w:cs="Times New Roman"/>
                <w:iCs/>
                <w:sz w:val="24"/>
                <w:szCs w:val="24"/>
                <w:highlight w:val="yellow"/>
                <w:lang w:val="en-GB"/>
              </w:rPr>
            </w:pPr>
            <w:r>
              <w:rPr>
                <w:noProof/>
              </w:rPr>
              <w:drawing>
                <wp:inline distT="0" distB="0" distL="0" distR="0">
                  <wp:extent cx="2763595" cy="2210937"/>
                  <wp:effectExtent l="0" t="0" r="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2778383" cy="2222768"/>
                          </a:xfrm>
                          <a:prstGeom prst="rect">
                            <a:avLst/>
                          </a:prstGeom>
                        </pic:spPr>
                      </pic:pic>
                    </a:graphicData>
                  </a:graphic>
                </wp:inline>
              </w:drawing>
            </w:r>
          </w:p>
        </w:tc>
        <w:tc>
          <w:tcPr>
            <w:tcW w:w="4481" w:type="dxa"/>
          </w:tcPr>
          <w:p>
            <w:pPr>
              <w:jc w:val="both"/>
              <w:rPr>
                <w:rFonts w:ascii="Times New Roman" w:hAnsi="Times New Roman" w:cs="Times New Roman"/>
                <w:iCs/>
                <w:sz w:val="24"/>
                <w:szCs w:val="24"/>
                <w:highlight w:val="yellow"/>
                <w:lang w:val="en-GB"/>
              </w:rPr>
            </w:pPr>
            <w:r>
              <w:rPr>
                <w:noProof/>
              </w:rPr>
              <w:drawing>
                <wp:inline distT="0" distB="0" distL="0" distR="0">
                  <wp:extent cx="2736215" cy="2183878"/>
                  <wp:effectExtent l="0" t="0" r="6985" b="6985"/>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2752104" cy="2196560"/>
                          </a:xfrm>
                          <a:prstGeom prst="rect">
                            <a:avLst/>
                          </a:prstGeom>
                        </pic:spPr>
                      </pic:pic>
                    </a:graphicData>
                  </a:graphic>
                </wp:inline>
              </w:drawing>
            </w:r>
          </w:p>
        </w:tc>
      </w:tr>
    </w:tbl>
    <w:p>
      <w:pPr>
        <w:spacing w:after="0" w:line="480" w:lineRule="auto"/>
        <w:jc w:val="both"/>
        <w:rPr>
          <w:rFonts w:ascii="Times New Roman" w:hAnsi="Times New Roman" w:cs="Times New Roman"/>
          <w:sz w:val="24"/>
          <w:szCs w:val="24"/>
          <w:lang w:val="en-GB"/>
        </w:rPr>
      </w:pPr>
      <w:r>
        <w:rPr>
          <w:rFonts w:ascii="Times New Roman" w:hAnsi="Times New Roman" w:cs="Times New Roman"/>
          <w:b/>
          <w:bCs/>
          <w:sz w:val="24"/>
          <w:szCs w:val="24"/>
          <w:lang w:val="en-GB"/>
        </w:rPr>
        <w:t xml:space="preserve">Fig. S3. </w:t>
      </w:r>
      <w:r>
        <w:rPr>
          <w:rFonts w:ascii="Times New Roman" w:hAnsi="Times New Roman" w:cs="Times New Roman"/>
          <w:sz w:val="24"/>
          <w:szCs w:val="24"/>
          <w:lang w:val="en-GB"/>
        </w:rPr>
        <w:t>Enhancement factor versus carbon enrichment (a–c) and O/C ratio (d–f) for different durations (15–60 min) of DT of WCPR.</w:t>
      </w:r>
    </w:p>
    <w:p>
      <w:pPr>
        <w:rPr>
          <w:rFonts w:ascii="Times New Roman" w:hAnsi="Times New Roman" w:cs="Times New Roman"/>
          <w:b/>
          <w:bCs/>
          <w:iCs/>
          <w:sz w:val="24"/>
          <w:szCs w:val="24"/>
          <w:lang w:val="en-GB"/>
        </w:rPr>
      </w:pPr>
    </w:p>
    <w:p>
      <w:pPr>
        <w:rPr>
          <w:rFonts w:ascii="Times New Roman" w:hAnsi="Times New Roman" w:cs="Times New Roman"/>
          <w:b/>
          <w:bCs/>
          <w:iCs/>
          <w:sz w:val="24"/>
          <w:szCs w:val="24"/>
          <w:lang w:val="en-GB"/>
        </w:rPr>
      </w:pPr>
      <w:r>
        <w:rPr>
          <w:rFonts w:ascii="Times New Roman" w:hAnsi="Times New Roman" w:cs="Times New Roman"/>
          <w:b/>
          <w:bCs/>
          <w:iCs/>
          <w:sz w:val="24"/>
          <w:szCs w:val="24"/>
          <w:lang w:val="en-GB"/>
        </w:rPr>
        <w:lastRenderedPageBreak/>
        <w:t>References</w:t>
      </w:r>
    </w:p>
    <w:p>
      <w:pPr>
        <w:spacing w:after="0" w:line="480" w:lineRule="auto"/>
        <w:jc w:val="both"/>
        <w:rPr>
          <w:rFonts w:ascii="Times New Roman" w:hAnsi="Times New Roman" w:cs="Times New Roman"/>
          <w:b/>
          <w:bCs/>
          <w:iCs/>
          <w:sz w:val="24"/>
          <w:szCs w:val="24"/>
          <w:lang w:val="en-GB"/>
        </w:rPr>
      </w:pPr>
    </w:p>
    <w:p>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Pr>
          <w:rFonts w:ascii="Times New Roman" w:hAnsi="Times New Roman" w:cs="Times New Roman"/>
          <w:b/>
          <w:bCs/>
          <w:iCs/>
          <w:sz w:val="24"/>
          <w:szCs w:val="24"/>
          <w:lang w:val="en-GB"/>
        </w:rPr>
        <w:fldChar w:fldCharType="begin" w:fldLock="1"/>
      </w:r>
      <w:r>
        <w:rPr>
          <w:rFonts w:ascii="Times New Roman" w:hAnsi="Times New Roman" w:cs="Times New Roman"/>
          <w:b/>
          <w:bCs/>
          <w:iCs/>
          <w:sz w:val="24"/>
          <w:szCs w:val="24"/>
          <w:lang w:val="en-GB"/>
        </w:rPr>
        <w:instrText xml:space="preserve">ADDIN Mendeley Bibliography CSL_BIBLIOGRAPHY </w:instrText>
      </w:r>
      <w:r>
        <w:rPr>
          <w:rFonts w:ascii="Times New Roman" w:hAnsi="Times New Roman" w:cs="Times New Roman"/>
          <w:b/>
          <w:bCs/>
          <w:iCs/>
          <w:sz w:val="24"/>
          <w:szCs w:val="24"/>
          <w:lang w:val="en-GB"/>
        </w:rPr>
        <w:fldChar w:fldCharType="separate"/>
      </w:r>
      <w:r>
        <w:rPr>
          <w:rFonts w:ascii="Times New Roman" w:hAnsi="Times New Roman" w:cs="Times New Roman"/>
          <w:noProof/>
          <w:sz w:val="24"/>
          <w:szCs w:val="24"/>
        </w:rPr>
        <w:t>[1]</w:t>
      </w:r>
      <w:r>
        <w:rPr>
          <w:rFonts w:ascii="Times New Roman" w:hAnsi="Times New Roman" w:cs="Times New Roman"/>
          <w:noProof/>
          <w:sz w:val="24"/>
          <w:szCs w:val="24"/>
        </w:rPr>
        <w:tab/>
        <w:t>L. Segal, J.J. Creely, A.E. Martin, C.M. Conrad, An Empirical Method for Estimating the Degree of Crystallinity of Native Cellulose Using the X-Ray Diffractometer, Text. Res. J. 29 (1959) 786–794. https://doi.org/10.1177/004051755902901003.</w:t>
      </w:r>
    </w:p>
    <w:p>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Pr>
          <w:rFonts w:ascii="Times New Roman" w:hAnsi="Times New Roman" w:cs="Times New Roman"/>
          <w:noProof/>
          <w:sz w:val="24"/>
          <w:szCs w:val="24"/>
        </w:rPr>
        <w:t>[2]</w:t>
      </w:r>
      <w:r>
        <w:rPr>
          <w:rFonts w:ascii="Times New Roman" w:hAnsi="Times New Roman" w:cs="Times New Roman"/>
          <w:noProof/>
          <w:sz w:val="24"/>
          <w:szCs w:val="24"/>
        </w:rPr>
        <w:tab/>
        <w:t>A. Thygesen, J. Oddershede, H. Lilholt, A.B. Thomsen, K. Ståhl, On the determination of crystallinity and cellulose content in plant fibres, Cellulose. 12 (2005) 563–576. https://doi.org/10.1007/s10570-005-9001-8.</w:t>
      </w:r>
    </w:p>
    <w:p>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Pr>
          <w:rFonts w:ascii="Times New Roman" w:hAnsi="Times New Roman" w:cs="Times New Roman"/>
          <w:noProof/>
          <w:sz w:val="24"/>
          <w:szCs w:val="24"/>
        </w:rPr>
        <w:t>[3]</w:t>
      </w:r>
      <w:r>
        <w:rPr>
          <w:rFonts w:ascii="Times New Roman" w:hAnsi="Times New Roman" w:cs="Times New Roman"/>
          <w:noProof/>
          <w:sz w:val="24"/>
          <w:szCs w:val="24"/>
        </w:rPr>
        <w:tab/>
        <w:t>N. Johar, I. Ahmad, A. Dufresne, Extraction, preparation and characterization of cellulose fibres and nanocrystals from rice husk, Ind. Crops Prod. 37 (2012) 93–99. https://doi.org/10.1016/j.indcrop.2011.12.016.</w:t>
      </w:r>
    </w:p>
    <w:p>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Pr>
          <w:rFonts w:ascii="Times New Roman" w:hAnsi="Times New Roman" w:cs="Times New Roman"/>
          <w:noProof/>
          <w:sz w:val="24"/>
          <w:szCs w:val="24"/>
        </w:rPr>
        <w:t>[4]</w:t>
      </w:r>
      <w:r>
        <w:rPr>
          <w:rFonts w:ascii="Times New Roman" w:hAnsi="Times New Roman" w:cs="Times New Roman"/>
          <w:noProof/>
          <w:sz w:val="24"/>
          <w:szCs w:val="24"/>
        </w:rPr>
        <w:tab/>
        <w:t>G. SriBala, R. Chennuru, S. Mahapatra, R. Vinu, Effect of alkaline ultrasonic pretreatment on crystalline morphology and enzymatic hydrolysis of cellulose, Cellulose. 23 (2016) 1725–1740. https://doi.org/10.1007/s10570-016-0893-2.</w:t>
      </w:r>
    </w:p>
    <w:p>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Pr>
          <w:rFonts w:ascii="Times New Roman" w:hAnsi="Times New Roman" w:cs="Times New Roman"/>
          <w:noProof/>
          <w:sz w:val="24"/>
          <w:szCs w:val="24"/>
        </w:rPr>
        <w:t>[5]</w:t>
      </w:r>
      <w:r>
        <w:rPr>
          <w:rFonts w:ascii="Times New Roman" w:hAnsi="Times New Roman" w:cs="Times New Roman"/>
          <w:noProof/>
          <w:sz w:val="24"/>
          <w:szCs w:val="24"/>
        </w:rPr>
        <w:tab/>
        <w:t>A. Zheng, Z. Zhao, S. Chang, Z. Huang, K. Zhao, G. Wei, F. He, H. Li, Comparison of the effect of wet and dry torrefaction on chemical structure and pyrolysis behavior of corncobs, Bioresour. Technol. 176 (2015) 15–22. https://doi.org/10.1016/j.biortech.2014.10.157.</w:t>
      </w:r>
    </w:p>
    <w:p>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Pr>
          <w:rFonts w:ascii="Times New Roman" w:hAnsi="Times New Roman" w:cs="Times New Roman"/>
          <w:noProof/>
          <w:sz w:val="24"/>
          <w:szCs w:val="24"/>
        </w:rPr>
        <w:t>[6]</w:t>
      </w:r>
      <w:r>
        <w:rPr>
          <w:rFonts w:ascii="Times New Roman" w:hAnsi="Times New Roman" w:cs="Times New Roman"/>
          <w:noProof/>
          <w:sz w:val="24"/>
          <w:szCs w:val="24"/>
        </w:rPr>
        <w:tab/>
        <w:t>R. García, C. Pizarro, A.G. Lavín, J.L. Bueno, Biomass proximate analysis using thermogravimetry, Bioresour. Technol. 139 (2013) 1–4. https://doi.org/10.1016/j.biortech.2013.03.197.</w:t>
      </w:r>
    </w:p>
    <w:p>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Pr>
          <w:rFonts w:ascii="Times New Roman" w:hAnsi="Times New Roman" w:cs="Times New Roman"/>
          <w:noProof/>
          <w:sz w:val="24"/>
          <w:szCs w:val="24"/>
        </w:rPr>
        <w:t>[7]</w:t>
      </w:r>
      <w:r>
        <w:rPr>
          <w:rFonts w:ascii="Times New Roman" w:hAnsi="Times New Roman" w:cs="Times New Roman"/>
          <w:noProof/>
          <w:sz w:val="24"/>
          <w:szCs w:val="24"/>
        </w:rPr>
        <w:tab/>
        <w:t>X. Li, Z. Lu, J. Chen, X. Chen, Y. Jiang, J. Jian, S. Yao, Effect of oxidative torrefaction on high temperature combustion process of wood sphere, Fuel. 286 (2021) 119379. https://doi.org/10.1016/j.fuel.2020.119379.</w:t>
      </w:r>
    </w:p>
    <w:p>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Pr>
          <w:rFonts w:ascii="Times New Roman" w:hAnsi="Times New Roman" w:cs="Times New Roman"/>
          <w:noProof/>
          <w:sz w:val="24"/>
          <w:szCs w:val="24"/>
        </w:rPr>
        <w:t>[8]</w:t>
      </w:r>
      <w:r>
        <w:rPr>
          <w:rFonts w:ascii="Times New Roman" w:hAnsi="Times New Roman" w:cs="Times New Roman"/>
          <w:noProof/>
          <w:sz w:val="24"/>
          <w:szCs w:val="24"/>
        </w:rPr>
        <w:tab/>
        <w:t xml:space="preserve">X. Niu, Y. Xu, L. Shen, Effect of torrefaction on the evolution of carbon and nitrogen during </w:t>
      </w:r>
      <w:r>
        <w:rPr>
          <w:rFonts w:ascii="Times New Roman" w:hAnsi="Times New Roman" w:cs="Times New Roman"/>
          <w:noProof/>
          <w:sz w:val="24"/>
          <w:szCs w:val="24"/>
        </w:rPr>
        <w:lastRenderedPageBreak/>
        <w:t>chemical looping gasification of rapeseed cake, Chem. Eng. J. 450 (2022) 138134. https://doi.org/10.1016/j.cej.2022.138134.</w:t>
      </w:r>
    </w:p>
    <w:p>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Pr>
          <w:rFonts w:ascii="Times New Roman" w:hAnsi="Times New Roman" w:cs="Times New Roman"/>
          <w:noProof/>
          <w:sz w:val="24"/>
          <w:szCs w:val="24"/>
        </w:rPr>
        <w:t>[9]</w:t>
      </w:r>
      <w:r>
        <w:rPr>
          <w:rFonts w:ascii="Times New Roman" w:hAnsi="Times New Roman" w:cs="Times New Roman"/>
          <w:noProof/>
          <w:sz w:val="24"/>
          <w:szCs w:val="24"/>
        </w:rPr>
        <w:tab/>
        <w:t>D. Chen, A. Gao, K. Cen, J. Zhang, X. Cao, Z. Ma, Investigation of biomass torrefaction based on three major components: Hemicellulose, cellulose, and lignin, Energy Convers. Manag. 169 (2018) 228–237. https://doi.org/10.1016/j.enconman.2018.05.063.</w:t>
      </w:r>
    </w:p>
    <w:p>
      <w:pPr>
        <w:widowControl w:val="0"/>
        <w:autoSpaceDE w:val="0"/>
        <w:autoSpaceDN w:val="0"/>
        <w:adjustRightInd w:val="0"/>
        <w:spacing w:after="0" w:line="480" w:lineRule="auto"/>
        <w:ind w:left="640" w:hanging="640"/>
        <w:jc w:val="both"/>
        <w:rPr>
          <w:rFonts w:ascii="Times New Roman" w:hAnsi="Times New Roman" w:cs="Times New Roman"/>
          <w:noProof/>
          <w:sz w:val="24"/>
          <w:szCs w:val="24"/>
        </w:rPr>
      </w:pPr>
      <w:r>
        <w:rPr>
          <w:rFonts w:ascii="Times New Roman" w:hAnsi="Times New Roman" w:cs="Times New Roman"/>
          <w:noProof/>
          <w:sz w:val="24"/>
          <w:szCs w:val="24"/>
        </w:rPr>
        <w:t>[10]</w:t>
      </w:r>
      <w:r>
        <w:rPr>
          <w:rFonts w:ascii="Times New Roman" w:hAnsi="Times New Roman" w:cs="Times New Roman"/>
          <w:noProof/>
          <w:sz w:val="24"/>
          <w:szCs w:val="24"/>
        </w:rPr>
        <w:tab/>
        <w:t>C. Zhang, S.H. Ho, W.H. Chen, Y. Xie, Z. Liu, J.S. Chang, Torrefaction performance and energy usage of biomass wastes and their correlations with torrefaction severity index, Appl. Energy. 220 (2018) 598–604. https://doi.org/10.1016/j.apenergy.2018.03.129.</w:t>
      </w:r>
    </w:p>
    <w:p>
      <w:pPr>
        <w:widowControl w:val="0"/>
        <w:autoSpaceDE w:val="0"/>
        <w:autoSpaceDN w:val="0"/>
        <w:adjustRightInd w:val="0"/>
        <w:spacing w:after="0" w:line="480" w:lineRule="auto"/>
        <w:ind w:left="640" w:hanging="640"/>
        <w:jc w:val="both"/>
        <w:rPr>
          <w:rFonts w:ascii="Times New Roman" w:hAnsi="Times New Roman" w:cs="Times New Roman"/>
          <w:noProof/>
          <w:sz w:val="24"/>
        </w:rPr>
      </w:pPr>
      <w:r>
        <w:rPr>
          <w:rFonts w:ascii="Times New Roman" w:hAnsi="Times New Roman" w:cs="Times New Roman"/>
          <w:noProof/>
          <w:sz w:val="24"/>
          <w:szCs w:val="24"/>
        </w:rPr>
        <w:t>[11]</w:t>
      </w:r>
      <w:r>
        <w:rPr>
          <w:rFonts w:ascii="Times New Roman" w:hAnsi="Times New Roman" w:cs="Times New Roman"/>
          <w:noProof/>
          <w:sz w:val="24"/>
          <w:szCs w:val="24"/>
        </w:rPr>
        <w:tab/>
        <w:t>X. Wang, J. Wu, Y. Chen, A. Pattiya, H. Yang, H. Chen, Comparative study of wet and dry torrefaction of corn stalk and the effect on biomass pyrolysis polygeneration, Bioresour. Technol. 258 (2018) 88–97. https://doi.org/10.1016/j.biortech.2018.02.114.</w:t>
      </w:r>
    </w:p>
    <w:p>
      <w:pPr>
        <w:spacing w:after="0" w:line="480" w:lineRule="auto"/>
        <w:jc w:val="both"/>
        <w:rPr>
          <w:rFonts w:ascii="Times New Roman" w:hAnsi="Times New Roman" w:cs="Times New Roman"/>
          <w:b/>
          <w:bCs/>
          <w:iCs/>
          <w:sz w:val="24"/>
          <w:szCs w:val="24"/>
          <w:lang w:val="en-GB"/>
        </w:rPr>
      </w:pPr>
      <w:r>
        <w:rPr>
          <w:rFonts w:ascii="Times New Roman" w:hAnsi="Times New Roman" w:cs="Times New Roman"/>
          <w:b/>
          <w:bCs/>
          <w:iCs/>
          <w:sz w:val="24"/>
          <w:szCs w:val="24"/>
          <w:lang w:val="en-GB"/>
        </w:rPr>
        <w:fldChar w:fldCharType="end"/>
      </w:r>
    </w:p>
    <w:sectPr>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pPr>
        <w:spacing w:after="0" w:line="240" w:lineRule="auto"/>
      </w:pPr>
      <w:r>
        <w:separator/>
      </w:r>
    </w:p>
  </w:endnote>
  <w:endnote w:type="continuationSeparator" w:id="0">
    <w:p>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33612429"/>
      <w:docPartObj>
        <w:docPartGallery w:val="Page Numbers (Bottom of Page)"/>
        <w:docPartUnique/>
      </w:docPartObj>
    </w:sdtPr>
    <w:sdtEndPr>
      <w:rPr>
        <w:noProof/>
      </w:rPr>
    </w:sdtEndPr>
    <w:sdtContent>
      <w:p>
        <w:pPr>
          <w:pStyle w:val="Footer"/>
          <w:jc w:val="right"/>
        </w:pPr>
        <w:r>
          <w:t>S</w:t>
        </w:r>
        <w:r>
          <w:fldChar w:fldCharType="begin"/>
        </w:r>
        <w:r>
          <w:instrText xml:space="preserve"> PAGE   \* MERGEFORMAT </w:instrText>
        </w:r>
        <w:r>
          <w:fldChar w:fldCharType="separate"/>
        </w:r>
        <w:r>
          <w:rPr>
            <w:noProof/>
          </w:rPr>
          <w:t>2</w:t>
        </w:r>
        <w:r>
          <w:rPr>
            <w:noProof/>
          </w:rPr>
          <w:fldChar w:fldCharType="end"/>
        </w:r>
      </w:p>
    </w:sdtContent>
  </w:sdt>
  <w:p>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pPr>
        <w:spacing w:after="0" w:line="240" w:lineRule="auto"/>
      </w:pPr>
      <w:r>
        <w:separator/>
      </w:r>
    </w:p>
  </w:footnote>
  <w:footnote w:type="continuationSeparator" w:id="0">
    <w:p>
      <w:pPr>
        <w:spacing w:after="0" w:line="240" w:lineRule="auto"/>
      </w:pPr>
      <w:r>
        <w:continuationSeparator/>
      </w:r>
    </w:p>
  </w:footnote>
  <w:footnote w:id="1">
    <w:p>
      <w:pPr>
        <w:spacing w:after="0" w:line="360" w:lineRule="auto"/>
        <w:jc w:val="both"/>
        <w:rPr>
          <w:rFonts w:ascii="Times New Roman" w:hAnsi="Times New Roman" w:cs="Times New Roman"/>
          <w:sz w:val="24"/>
          <w:szCs w:val="24"/>
          <w:lang w:val="en-GB"/>
        </w:rPr>
      </w:pPr>
      <w:r>
        <w:rPr>
          <w:rStyle w:val="FootnoteReference"/>
        </w:rPr>
        <w:sym w:font="Symbol" w:char="F02A"/>
      </w:r>
      <w:r>
        <w:rPr>
          <w:rFonts w:ascii="Times New Roman" w:hAnsi="Times New Roman" w:cs="Times New Roman"/>
          <w:sz w:val="24"/>
          <w:szCs w:val="24"/>
          <w:lang w:val="en-GB"/>
        </w:rPr>
        <w:t>Corresponding author:</w:t>
      </w:r>
    </w:p>
    <w:p>
      <w:pPr>
        <w:shd w:val="clear" w:color="auto" w:fill="FFFFFF"/>
        <w:spacing w:after="0" w:line="360" w:lineRule="auto"/>
        <w:rPr>
          <w:sz w:val="24"/>
          <w:szCs w:val="24"/>
          <w:lang w:val="en-GB"/>
        </w:rPr>
      </w:pPr>
      <w:r>
        <w:rPr>
          <w:rFonts w:ascii="Times New Roman" w:hAnsi="Times New Roman" w:cs="Times New Roman"/>
          <w:i/>
          <w:sz w:val="24"/>
          <w:szCs w:val="24"/>
          <w:lang w:val="en-GB"/>
        </w:rPr>
        <w:t xml:space="preserve">E-mail address: </w:t>
      </w:r>
      <w:r>
        <w:rPr>
          <w:rFonts w:ascii="Times New Roman" w:hAnsi="Times New Roman" w:cs="Times New Roman"/>
          <w:sz w:val="24"/>
          <w:szCs w:val="24"/>
          <w:lang w:val="en-GB"/>
        </w:rPr>
        <w:t>andrii.kostyniuk@ki.si (</w:t>
      </w:r>
      <w:r>
        <w:rPr>
          <w:rFonts w:ascii="Times New Roman" w:hAnsi="Times New Roman" w:cs="Times New Roman"/>
          <w:color w:val="000000"/>
          <w:sz w:val="24"/>
          <w:szCs w:val="24"/>
          <w:lang w:val="en-GB"/>
        </w:rPr>
        <w:t>Andrii Kostyniuk</w:t>
      </w:r>
      <w:r>
        <w:rPr>
          <w:rFonts w:ascii="Times New Roman" w:hAnsi="Times New Roman" w:cs="Times New Roman"/>
          <w:sz w:val="24"/>
          <w:szCs w:val="24"/>
          <w:lang w:val="en-GB"/>
        </w:rPr>
        <w:t>)</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MTK0MDS3MDGwNLC0NLZQ0lEKTi0uzszPAymwrAUA3i/2qCwAAAA="/>
  </w:docVar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0EB389D3-9E53-4144-A636-5CD0061FE7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pPr>
      <w:spacing w:after="0" w:line="240" w:lineRule="auto"/>
    </w:pPr>
    <w:rPr>
      <w:lang w:val="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Preformatted">
    <w:name w:val="HTML Preformatted"/>
    <w:basedOn w:val="Normal"/>
    <w:link w:val="HTMLPreformattedChar"/>
    <w:unhideWhenUse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n-GB" w:eastAsia="ru-RU"/>
    </w:rPr>
  </w:style>
  <w:style w:type="character" w:customStyle="1" w:styleId="HTMLPreformattedChar">
    <w:name w:val="HTML Preformatted Char"/>
    <w:basedOn w:val="DefaultParagraphFont"/>
    <w:link w:val="HTMLPreformatted"/>
    <w:rPr>
      <w:rFonts w:ascii="Courier New" w:eastAsia="Times New Roman" w:hAnsi="Courier New" w:cs="Courier New"/>
      <w:sz w:val="20"/>
      <w:szCs w:val="20"/>
      <w:lang w:val="en-GB" w:eastAsia="ru-RU"/>
    </w:rPr>
  </w:style>
  <w:style w:type="character" w:styleId="FootnoteReference">
    <w:name w:val="footnote reference"/>
    <w:uiPriority w:val="99"/>
    <w:rPr>
      <w:vertAlign w:val="superscript"/>
    </w:rPr>
  </w:style>
  <w:style w:type="paragraph" w:styleId="Footer">
    <w:name w:val="footer"/>
    <w:basedOn w:val="Normal"/>
    <w:link w:val="FooterChar"/>
    <w:uiPriority w:val="99"/>
    <w:unhideWhenUsed/>
    <w:pPr>
      <w:tabs>
        <w:tab w:val="center" w:pos="4677"/>
        <w:tab w:val="right" w:pos="9355"/>
      </w:tabs>
      <w:spacing w:after="0" w:line="240" w:lineRule="auto"/>
    </w:pPr>
    <w:rPr>
      <w:rFonts w:eastAsiaTheme="minorEastAsia"/>
      <w:lang w:val="en-GB" w:eastAsia="zh-CN"/>
    </w:rPr>
  </w:style>
  <w:style w:type="character" w:customStyle="1" w:styleId="FooterChar">
    <w:name w:val="Footer Char"/>
    <w:basedOn w:val="DefaultParagraphFont"/>
    <w:link w:val="Footer"/>
    <w:uiPriority w:val="99"/>
    <w:rPr>
      <w:rFonts w:eastAsiaTheme="minorEastAsia"/>
      <w:lang w:val="en-GB" w:eastAsia="zh-CN"/>
    </w:rPr>
  </w:style>
  <w:style w:type="paragraph" w:styleId="Header">
    <w:name w:val="header"/>
    <w:basedOn w:val="Normal"/>
    <w:link w:val="HeaderChar"/>
    <w:uiPriority w:val="99"/>
    <w:unhideWhenUsed/>
    <w:pPr>
      <w:tabs>
        <w:tab w:val="center" w:pos="4680"/>
        <w:tab w:val="right" w:pos="9360"/>
      </w:tabs>
      <w:spacing w:after="0" w:line="240" w:lineRule="auto"/>
    </w:pPr>
  </w:style>
  <w:style w:type="character" w:customStyle="1" w:styleId="HeaderChar">
    <w:name w:val="Header Char"/>
    <w:basedOn w:val="DefaultParagraphFont"/>
    <w:link w:val="Header"/>
    <w:uiPriority w:val="99"/>
  </w:style>
  <w:style w:type="character" w:styleId="EndnoteReference">
    <w:name w:val="endnote reference"/>
    <w:basedOn w:val="DefaultParagraphFont"/>
    <w:uiPriority w:val="99"/>
    <w:semiHidden/>
    <w:unhideWhenUsed/>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image" Target="media/image5.png"/><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9.png"/><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4.png"/><Relationship Id="rId5" Type="http://schemas.openxmlformats.org/officeDocument/2006/relationships/footnotes" Target="footnotes.xml"/><Relationship Id="rId15" Type="http://schemas.openxmlformats.org/officeDocument/2006/relationships/image" Target="media/image8.png"/><Relationship Id="rId10" Type="http://schemas.openxmlformats.org/officeDocument/2006/relationships/image" Target="media/image3.png"/><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image" Target="media/image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3C2B38E-AEC3-46BA-A9EE-C92A70CBBB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651</TotalTime>
  <Pages>14</Pages>
  <Words>6969</Words>
  <Characters>39725</Characters>
  <Application>Microsoft Office Word</Application>
  <DocSecurity>0</DocSecurity>
  <Lines>331</Lines>
  <Paragraphs>93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46601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Andrii Kostyniuk</dc:creator>
  <cp:keywords/>
  <dc:description/>
  <cp:lastModifiedBy>Andrii Kostyniuk</cp:lastModifiedBy>
  <cp:revision>50</cp:revision>
  <dcterms:created xsi:type="dcterms:W3CDTF">2023-10-19T09:25:00Z</dcterms:created>
  <dcterms:modified xsi:type="dcterms:W3CDTF">2025-05-12T21:56:00Z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http://www.zotero.org/styles/angewandte-chemie</vt:lpwstr>
  </property>
  <property fmtid="{D5CDD505-2E9C-101B-9397-08002B2CF9AE}" pid="3" name="Mendeley Recent Style Name 0_1">
    <vt:lpwstr>Angewandte Chemie International Edition</vt:lpwstr>
  </property>
  <property fmtid="{D5CDD505-2E9C-101B-9397-08002B2CF9AE}" pid="4" name="Mendeley Recent Style Id 1_1">
    <vt:lpwstr>http://www.zotero.org/styles/applied-catalysis-a-general</vt:lpwstr>
  </property>
  <property fmtid="{D5CDD505-2E9C-101B-9397-08002B2CF9AE}" pid="5" name="Mendeley Recent Style Name 1_1">
    <vt:lpwstr>Applied Catalysis A, General</vt:lpwstr>
  </property>
  <property fmtid="{D5CDD505-2E9C-101B-9397-08002B2CF9AE}" pid="6" name="Mendeley Recent Style Id 2_1">
    <vt:lpwstr>http://www.zotero.org/styles/applied-catalysis-b-environmental</vt:lpwstr>
  </property>
  <property fmtid="{D5CDD505-2E9C-101B-9397-08002B2CF9AE}" pid="7" name="Mendeley Recent Style Name 2_1">
    <vt:lpwstr>Applied Catalysis B: Environmental</vt:lpwstr>
  </property>
  <property fmtid="{D5CDD505-2E9C-101B-9397-08002B2CF9AE}" pid="8" name="Mendeley Recent Style Id 3_1">
    <vt:lpwstr>http://www.zotero.org/styles/chem-catalysis</vt:lpwstr>
  </property>
  <property fmtid="{D5CDD505-2E9C-101B-9397-08002B2CF9AE}" pid="9" name="Mendeley Recent Style Name 3_1">
    <vt:lpwstr>Chem Catalysis</vt:lpwstr>
  </property>
  <property fmtid="{D5CDD505-2E9C-101B-9397-08002B2CF9AE}" pid="10" name="Mendeley Recent Style Id 4_1">
    <vt:lpwstr>http://www.zotero.org/styles/energy-and-environmental-science</vt:lpwstr>
  </property>
  <property fmtid="{D5CDD505-2E9C-101B-9397-08002B2CF9AE}" pid="11" name="Mendeley Recent Style Name 4_1">
    <vt:lpwstr>Energy &amp; Environmental Science</vt:lpwstr>
  </property>
  <property fmtid="{D5CDD505-2E9C-101B-9397-08002B2CF9AE}" pid="12" name="Mendeley Recent Style Id 5_1">
    <vt:lpwstr>http://www.zotero.org/styles/green-chemistry</vt:lpwstr>
  </property>
  <property fmtid="{D5CDD505-2E9C-101B-9397-08002B2CF9AE}" pid="13" name="Mendeley Recent Style Name 5_1">
    <vt:lpwstr>Green Chemistry</vt:lpwstr>
  </property>
  <property fmtid="{D5CDD505-2E9C-101B-9397-08002B2CF9AE}" pid="14" name="Mendeley Recent Style Id 6_1">
    <vt:lpwstr>http://www.zotero.org/styles/journal-of-the-american-chemical-society</vt:lpwstr>
  </property>
  <property fmtid="{D5CDD505-2E9C-101B-9397-08002B2CF9AE}" pid="15" name="Mendeley Recent Style Name 6_1">
    <vt:lpwstr>Journal of the American Chemical Society</vt:lpwstr>
  </property>
  <property fmtid="{D5CDD505-2E9C-101B-9397-08002B2CF9AE}" pid="16" name="Mendeley Recent Style Id 7_1">
    <vt:lpwstr>http://www.zotero.org/styles/nature-chemistry</vt:lpwstr>
  </property>
  <property fmtid="{D5CDD505-2E9C-101B-9397-08002B2CF9AE}" pid="17" name="Mendeley Recent Style Name 7_1">
    <vt:lpwstr>Nature Chemistry</vt:lpwstr>
  </property>
  <property fmtid="{D5CDD505-2E9C-101B-9397-08002B2CF9AE}" pid="18" name="Mendeley Recent Style Id 8_1">
    <vt:lpwstr>http://www.zotero.org/styles/nature-communications</vt:lpwstr>
  </property>
  <property fmtid="{D5CDD505-2E9C-101B-9397-08002B2CF9AE}" pid="19" name="Mendeley Recent Style Name 8_1">
    <vt:lpwstr>Nature Communications</vt:lpwstr>
  </property>
  <property fmtid="{D5CDD505-2E9C-101B-9397-08002B2CF9AE}" pid="20" name="Mendeley Recent Style Id 9_1">
    <vt:lpwstr>http://www.zotero.org/styles/renewable-energy</vt:lpwstr>
  </property>
  <property fmtid="{D5CDD505-2E9C-101B-9397-08002B2CF9AE}" pid="21" name="Mendeley Recent Style Name 9_1">
    <vt:lpwstr>Renewable Energy</vt:lpwstr>
  </property>
  <property fmtid="{D5CDD505-2E9C-101B-9397-08002B2CF9AE}" pid="22" name="Mendeley Document_1">
    <vt:lpwstr>True</vt:lpwstr>
  </property>
  <property fmtid="{D5CDD505-2E9C-101B-9397-08002B2CF9AE}" pid="23" name="Mendeley Unique User Id_1">
    <vt:lpwstr>646a71f3-25d9-3816-83ea-d4c75b95823b</vt:lpwstr>
  </property>
  <property fmtid="{D5CDD505-2E9C-101B-9397-08002B2CF9AE}" pid="24" name="Mendeley Citation Style_1">
    <vt:lpwstr>http://www.zotero.org/styles/renewable-energy</vt:lpwstr>
  </property>
</Properties>
</file>