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Footer"/>
        <w:shd w:val="clear" w:color="auto" w:fill="FFFFFF"/>
        <w:spacing w:line="480" w:lineRule="auto"/>
        <w:jc w:val="center"/>
        <w:rPr>
          <w:rFonts w:ascii="Times New Roman" w:hAnsi="Times New Roman" w:cs="Times New Roman"/>
          <w:b/>
          <w:bCs/>
          <w:kern w:val="36"/>
          <w:sz w:val="28"/>
          <w:szCs w:val="24"/>
        </w:rPr>
      </w:pPr>
      <w:r>
        <w:rPr>
          <w:rFonts w:ascii="Times New Roman" w:hAnsi="Times New Roman" w:cs="Times New Roman"/>
          <w:b/>
          <w:bCs/>
          <w:kern w:val="36"/>
          <w:sz w:val="28"/>
          <w:szCs w:val="24"/>
        </w:rPr>
        <w:t>Supplementary Information</w:t>
      </w:r>
    </w:p>
    <w:p>
      <w:pPr>
        <w:pStyle w:val="Footer"/>
        <w:shd w:val="clear" w:color="auto" w:fill="FFFFFF"/>
        <w:spacing w:line="480" w:lineRule="auto"/>
        <w:rPr>
          <w:rFonts w:ascii="Times New Roman" w:hAnsi="Times New Roman" w:cs="Times New Roman"/>
          <w:kern w:val="36"/>
          <w:sz w:val="28"/>
          <w:szCs w:val="24"/>
        </w:rPr>
      </w:pPr>
    </w:p>
    <w:p>
      <w:pPr>
        <w:pStyle w:val="Footer"/>
        <w:shd w:val="clear" w:color="auto" w:fill="FFFFFF"/>
        <w:spacing w:line="480" w:lineRule="auto"/>
        <w:jc w:val="both"/>
        <w:rPr>
          <w:rFonts w:ascii="Times New Roman" w:hAnsi="Times New Roman" w:cs="Times New Roman"/>
          <w:kern w:val="36"/>
          <w:sz w:val="28"/>
          <w:szCs w:val="28"/>
        </w:rPr>
      </w:pPr>
      <w:r>
        <w:rPr>
          <w:rFonts w:ascii="Times New Roman" w:hAnsi="Times New Roman" w:cs="Times New Roman"/>
          <w:kern w:val="36"/>
          <w:sz w:val="28"/>
          <w:szCs w:val="28"/>
        </w:rPr>
        <w:t xml:space="preserve">Dry torrefaction of biomass waste into high-energy biochar and selective formation of </w:t>
      </w:r>
      <w:proofErr w:type="spellStart"/>
      <w:r>
        <w:rPr>
          <w:rFonts w:ascii="Times New Roman" w:hAnsi="Times New Roman" w:cs="Times New Roman"/>
          <w:kern w:val="36"/>
          <w:sz w:val="28"/>
          <w:szCs w:val="28"/>
        </w:rPr>
        <w:t>levoglucosenone</w:t>
      </w:r>
      <w:proofErr w:type="spellEnd"/>
      <w:r>
        <w:rPr>
          <w:rFonts w:ascii="Times New Roman" w:hAnsi="Times New Roman" w:cs="Times New Roman"/>
          <w:kern w:val="36"/>
          <w:sz w:val="28"/>
          <w:szCs w:val="28"/>
        </w:rPr>
        <w:t xml:space="preserve"> and 1,4:3,6-dianhydro-α-D-glucopyranose</w:t>
      </w:r>
    </w:p>
    <w:p>
      <w:pPr>
        <w:pStyle w:val="Footer"/>
        <w:shd w:val="clear" w:color="auto" w:fill="FFFFFF"/>
        <w:spacing w:line="480" w:lineRule="auto"/>
        <w:rPr>
          <w:rFonts w:ascii="Times New Roman" w:hAnsi="Times New Roman" w:cs="Times New Roman"/>
          <w:kern w:val="36"/>
          <w:sz w:val="28"/>
          <w:szCs w:val="24"/>
        </w:rPr>
      </w:pPr>
    </w:p>
    <w:p>
      <w:pPr>
        <w:pStyle w:val="HTMLPreformatted"/>
        <w:shd w:val="clear" w:color="auto" w:fill="FFFFFF"/>
        <w:spacing w:line="480" w:lineRule="auto"/>
        <w:rPr>
          <w:rFonts w:ascii="Times New Roman" w:hAnsi="Times New Roman" w:cs="Times New Roman"/>
          <w:color w:val="000000"/>
          <w:sz w:val="24"/>
          <w:szCs w:val="24"/>
        </w:rPr>
      </w:pPr>
      <w:bookmarkStart w:id="0" w:name="_Hlk105066656"/>
      <w:r>
        <w:rPr>
          <w:rFonts w:ascii="Times New Roman" w:hAnsi="Times New Roman" w:cs="Times New Roman"/>
          <w:color w:val="000000"/>
          <w:sz w:val="24"/>
          <w:szCs w:val="24"/>
        </w:rPr>
        <w:t>Andrii Kostyniuk</w:t>
      </w:r>
      <w:r>
        <w:rPr>
          <w:rStyle w:val="FootnoteReference"/>
        </w:rPr>
        <w:footnoteReference w:customMarkFollows="1" w:id="1"/>
        <w:sym w:font="Symbol" w:char="F02A"/>
      </w:r>
      <w:r>
        <w:rPr>
          <w:rFonts w:ascii="Times New Roman" w:hAnsi="Times New Roman" w:cs="Times New Roman"/>
          <w:color w:val="000000"/>
          <w:sz w:val="24"/>
          <w:szCs w:val="24"/>
        </w:rPr>
        <w:t xml:space="preserve">, </w:t>
      </w:r>
      <w:r>
        <w:rPr>
          <w:rFonts w:ascii="Times New Roman" w:hAnsi="Times New Roman" w:cs="Times New Roman"/>
          <w:sz w:val="24"/>
          <w:szCs w:val="24"/>
        </w:rPr>
        <w:t>Blaž Likozar</w:t>
      </w:r>
    </w:p>
    <w:p>
      <w:pPr>
        <w:spacing w:after="0" w:line="480"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t xml:space="preserve">Department of Catalysis and Chemical Reaction Engineering, National Institute of Chemistry, </w:t>
      </w:r>
      <w:proofErr w:type="spellStart"/>
      <w:r>
        <w:rPr>
          <w:rFonts w:ascii="Times New Roman" w:hAnsi="Times New Roman" w:cs="Times New Roman"/>
          <w:i/>
          <w:sz w:val="24"/>
          <w:szCs w:val="24"/>
          <w:lang w:val="en-GB"/>
        </w:rPr>
        <w:t>Hajdrihova</w:t>
      </w:r>
      <w:proofErr w:type="spellEnd"/>
      <w:r>
        <w:rPr>
          <w:rFonts w:ascii="Times New Roman" w:hAnsi="Times New Roman" w:cs="Times New Roman"/>
          <w:i/>
          <w:sz w:val="24"/>
          <w:szCs w:val="24"/>
          <w:lang w:val="en-GB"/>
        </w:rPr>
        <w:t xml:space="preserve"> 19, Ljubljana, 1001, Slovenia</w:t>
      </w:r>
      <w:bookmarkEnd w:id="0"/>
    </w:p>
    <w:p>
      <w:pPr>
        <w:spacing w:after="0" w:line="480" w:lineRule="auto"/>
        <w:jc w:val="both"/>
        <w:rPr>
          <w:rFonts w:ascii="Times New Roman" w:hAnsi="Times New Roman" w:cs="Times New Roman"/>
          <w:b/>
          <w:bCs/>
          <w:iCs/>
          <w:sz w:val="24"/>
          <w:szCs w:val="24"/>
          <w:lang w:val="en-GB"/>
        </w:rPr>
      </w:pPr>
    </w:p>
    <w:p>
      <w:pPr>
        <w:spacing w:after="0" w:line="480" w:lineRule="auto"/>
        <w:jc w:val="both"/>
        <w:rPr>
          <w:rFonts w:ascii="Times New Roman" w:hAnsi="Times New Roman" w:cs="Times New Roman"/>
          <w:b/>
          <w:bCs/>
          <w:iCs/>
          <w:sz w:val="24"/>
          <w:szCs w:val="24"/>
          <w:lang w:val="en-GB"/>
        </w:rPr>
        <w:sectPr>
          <w:footerReference w:type="default" r:id="rId7"/>
          <w:pgSz w:w="12240" w:h="15840"/>
          <w:pgMar w:top="1440" w:right="1440" w:bottom="1440" w:left="1440" w:header="720" w:footer="720" w:gutter="0"/>
          <w:cols w:space="720"/>
          <w:docGrid w:linePitch="360"/>
        </w:sectPr>
      </w:pPr>
    </w:p>
    <w:p>
      <w:pPr>
        <w:spacing w:after="0"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S2.1. Materials</w:t>
      </w:r>
    </w:p>
    <w:p>
      <w:pPr>
        <w:spacing w:after="0" w:line="480" w:lineRule="auto"/>
        <w:jc w:val="both"/>
        <w:rPr>
          <w:rFonts w:ascii="Times New Roman" w:hAnsi="Times New Roman" w:cs="Times New Roman"/>
          <w:sz w:val="24"/>
          <w:szCs w:val="24"/>
          <w:lang w:val="en-GB"/>
        </w:rPr>
      </w:pPr>
    </w:p>
    <w:p>
      <w:pPr>
        <w:spacing w:after="0" w:line="480" w:lineRule="auto"/>
        <w:ind w:firstLine="709"/>
        <w:jc w:val="both"/>
        <w:rPr>
          <w:rFonts w:ascii="Times New Roman" w:eastAsiaTheme="minorEastAsia" w:hAnsi="Times New Roman" w:cs="Times New Roman"/>
          <w:sz w:val="24"/>
          <w:szCs w:val="24"/>
          <w:lang w:val="en-GB" w:eastAsia="zh-CN"/>
        </w:rPr>
      </w:pPr>
      <w:r>
        <w:rPr>
          <w:rFonts w:ascii="Times New Roman" w:eastAsiaTheme="minorEastAsia" w:hAnsi="Times New Roman" w:cs="Times New Roman"/>
          <w:sz w:val="24"/>
          <w:szCs w:val="24"/>
          <w:lang w:val="en-GB" w:eastAsia="zh-CN"/>
        </w:rPr>
        <w:t xml:space="preserve">All chemical reactants, calibration standards, and gases were procured commercially and used as received without the need for further purification. The specific chemicals and their respective sources are as follows: 5-hydroxymethylfurfural (&gt;97 </w:t>
      </w:r>
      <w:proofErr w:type="spellStart"/>
      <w:r>
        <w:rPr>
          <w:rFonts w:ascii="Times New Roman" w:eastAsiaTheme="minorEastAsia" w:hAnsi="Times New Roman" w:cs="Times New Roman"/>
          <w:sz w:val="24"/>
          <w:szCs w:val="24"/>
          <w:lang w:val="en-GB" w:eastAsia="zh-CN"/>
        </w:rPr>
        <w:t>wt</w:t>
      </w:r>
      <w:proofErr w:type="spellEnd"/>
      <w:r>
        <w:rPr>
          <w:rFonts w:ascii="Times New Roman" w:eastAsiaTheme="minorEastAsia" w:hAnsi="Times New Roman" w:cs="Times New Roman"/>
          <w:sz w:val="24"/>
          <w:szCs w:val="24"/>
          <w:lang w:val="en-GB" w:eastAsia="zh-CN"/>
        </w:rPr>
        <w:t xml:space="preserve">%, </w:t>
      </w:r>
      <w:proofErr w:type="spellStart"/>
      <w:r>
        <w:rPr>
          <w:rFonts w:ascii="Times New Roman" w:eastAsiaTheme="minorEastAsia" w:hAnsi="Times New Roman" w:cs="Times New Roman"/>
          <w:sz w:val="24"/>
          <w:szCs w:val="24"/>
          <w:lang w:val="en-GB" w:eastAsia="zh-CN"/>
        </w:rPr>
        <w:t>Carbosynth</w:t>
      </w:r>
      <w:proofErr w:type="spellEnd"/>
      <w:r>
        <w:rPr>
          <w:rFonts w:ascii="Times New Roman" w:eastAsiaTheme="minorEastAsia" w:hAnsi="Times New Roman" w:cs="Times New Roman"/>
          <w:sz w:val="24"/>
          <w:szCs w:val="24"/>
          <w:lang w:val="en-GB" w:eastAsia="zh-CN"/>
        </w:rPr>
        <w:t xml:space="preserve">, reference number FH10853), 5-methylfurfural (99 </w:t>
      </w:r>
      <w:proofErr w:type="spellStart"/>
      <w:r>
        <w:rPr>
          <w:rFonts w:ascii="Times New Roman" w:eastAsiaTheme="minorEastAsia" w:hAnsi="Times New Roman" w:cs="Times New Roman"/>
          <w:sz w:val="24"/>
          <w:szCs w:val="24"/>
          <w:lang w:val="en-GB" w:eastAsia="zh-CN"/>
        </w:rPr>
        <w:t>wt</w:t>
      </w:r>
      <w:proofErr w:type="spellEnd"/>
      <w:r>
        <w:rPr>
          <w:rFonts w:ascii="Times New Roman" w:eastAsiaTheme="minorEastAsia" w:hAnsi="Times New Roman" w:cs="Times New Roman"/>
          <w:sz w:val="24"/>
          <w:szCs w:val="24"/>
          <w:lang w:val="en-GB" w:eastAsia="zh-CN"/>
        </w:rPr>
        <w:t xml:space="preserve">%, Sigma Aldrich), furfural (&gt;99 </w:t>
      </w:r>
      <w:proofErr w:type="spellStart"/>
      <w:r>
        <w:rPr>
          <w:rFonts w:ascii="Times New Roman" w:eastAsiaTheme="minorEastAsia" w:hAnsi="Times New Roman" w:cs="Times New Roman"/>
          <w:sz w:val="24"/>
          <w:szCs w:val="24"/>
          <w:lang w:val="en-GB" w:eastAsia="zh-CN"/>
        </w:rPr>
        <w:t>wt</w:t>
      </w:r>
      <w:proofErr w:type="spellEnd"/>
      <w:r>
        <w:rPr>
          <w:rFonts w:ascii="Times New Roman" w:eastAsiaTheme="minorEastAsia" w:hAnsi="Times New Roman" w:cs="Times New Roman"/>
          <w:sz w:val="24"/>
          <w:szCs w:val="24"/>
          <w:lang w:val="en-GB" w:eastAsia="zh-CN"/>
        </w:rPr>
        <w:t xml:space="preserve">%, Sigma Aldrich), ethanol (&gt;99.8%, Sigma Aldrich), methanol (&gt;99.9%, Sigma Aldrich), </w:t>
      </w:r>
      <w:proofErr w:type="spellStart"/>
      <w:r>
        <w:rPr>
          <w:rFonts w:ascii="Times New Roman" w:eastAsiaTheme="minorEastAsia" w:hAnsi="Times New Roman" w:cs="Times New Roman"/>
          <w:sz w:val="24"/>
          <w:szCs w:val="24"/>
          <w:lang w:val="en-GB" w:eastAsia="zh-CN"/>
        </w:rPr>
        <w:t>hydroxyacetone</w:t>
      </w:r>
      <w:proofErr w:type="spellEnd"/>
      <w:r>
        <w:rPr>
          <w:rFonts w:ascii="Times New Roman" w:eastAsiaTheme="minorEastAsia" w:hAnsi="Times New Roman" w:cs="Times New Roman"/>
          <w:sz w:val="24"/>
          <w:szCs w:val="24"/>
          <w:lang w:val="en-GB" w:eastAsia="zh-CN"/>
        </w:rPr>
        <w:t xml:space="preserve"> (99.5%, Sigma Aldrich), </w:t>
      </w:r>
      <w:proofErr w:type="spellStart"/>
      <w:r>
        <w:rPr>
          <w:rFonts w:ascii="Times New Roman" w:eastAsiaTheme="minorEastAsia" w:hAnsi="Times New Roman" w:cs="Times New Roman"/>
          <w:sz w:val="24"/>
          <w:szCs w:val="24"/>
          <w:lang w:val="en-GB" w:eastAsia="zh-CN"/>
        </w:rPr>
        <w:t>levulinic</w:t>
      </w:r>
      <w:proofErr w:type="spellEnd"/>
      <w:r>
        <w:rPr>
          <w:rFonts w:ascii="Times New Roman" w:eastAsiaTheme="minorEastAsia" w:hAnsi="Times New Roman" w:cs="Times New Roman"/>
          <w:sz w:val="24"/>
          <w:szCs w:val="24"/>
          <w:lang w:val="en-GB" w:eastAsia="zh-CN"/>
        </w:rPr>
        <w:t xml:space="preserve"> acid (99.5%, Sigma Aldrich), guaiacol (99.5%, Sigma Aldrich), 2,3-butanedione (99%, Sigma Aldrich), phenol (≥98.5%, Sigma Aldrich), 2-butanone (99.5%, Sigma Aldrich), acetone (&gt;99.5%, Sigma Aldrich), acetoin (&gt;99.5%, Sigma Aldrich), acetic acid (&gt;99.7%, Sigma Aldrich), cyclopentenone (&gt;99%, Sigma Aldrich), acetylacetone (&gt;99%, Sigma Aldrich), 2,5-hexanedione (&gt;99.5%, Sigma Aldrich), hydrogen (5.0, Messer, Germany), nitrogen (5.0, Messer, Germany), helium (5.0 Messer, Germany). The feedstock, denoted as WCPR ‒ </w:t>
      </w:r>
      <w:r>
        <w:rPr>
          <w:rFonts w:ascii="Times New Roman" w:hAnsi="Times New Roman" w:cs="Times New Roman"/>
          <w:sz w:val="24"/>
          <w:szCs w:val="24"/>
          <w:lang w:val="en-GB"/>
        </w:rPr>
        <w:t>wood cellulose pulp residue</w:t>
      </w:r>
      <w:r>
        <w:rPr>
          <w:rFonts w:ascii="Times New Roman" w:eastAsiaTheme="minorEastAsia" w:hAnsi="Times New Roman" w:cs="Times New Roman"/>
          <w:sz w:val="24"/>
          <w:szCs w:val="24"/>
          <w:lang w:val="en-GB" w:eastAsia="zh-CN"/>
        </w:rPr>
        <w:t xml:space="preserve">, was obtained from the biotechnology company </w:t>
      </w:r>
      <w:proofErr w:type="spellStart"/>
      <w:r>
        <w:rPr>
          <w:rFonts w:ascii="Times New Roman" w:eastAsiaTheme="minorEastAsia" w:hAnsi="Times New Roman" w:cs="Times New Roman"/>
          <w:sz w:val="24"/>
          <w:szCs w:val="24"/>
          <w:lang w:val="en-GB" w:eastAsia="zh-CN"/>
        </w:rPr>
        <w:t>Vertoro</w:t>
      </w:r>
      <w:proofErr w:type="spellEnd"/>
      <w:r>
        <w:rPr>
          <w:rFonts w:ascii="Times New Roman" w:eastAsiaTheme="minorEastAsia" w:hAnsi="Times New Roman" w:cs="Times New Roman"/>
          <w:sz w:val="24"/>
          <w:szCs w:val="24"/>
          <w:lang w:val="en-GB" w:eastAsia="zh-CN"/>
        </w:rPr>
        <w:t xml:space="preserve"> (</w:t>
      </w:r>
      <w:proofErr w:type="spellStart"/>
      <w:r>
        <w:rPr>
          <w:rFonts w:ascii="Times New Roman" w:eastAsiaTheme="minorEastAsia" w:hAnsi="Times New Roman" w:cs="Times New Roman"/>
          <w:sz w:val="24"/>
          <w:szCs w:val="24"/>
          <w:lang w:val="en-GB" w:eastAsia="zh-CN"/>
        </w:rPr>
        <w:t>Geleen</w:t>
      </w:r>
      <w:proofErr w:type="spellEnd"/>
      <w:r>
        <w:rPr>
          <w:rFonts w:ascii="Times New Roman" w:eastAsiaTheme="minorEastAsia" w:hAnsi="Times New Roman" w:cs="Times New Roman"/>
          <w:sz w:val="24"/>
          <w:szCs w:val="24"/>
          <w:lang w:val="en-GB" w:eastAsia="zh-CN"/>
        </w:rPr>
        <w:t xml:space="preserve">, Netherlands), and its composition is detailed in </w:t>
      </w:r>
      <w:r>
        <w:rPr>
          <w:rFonts w:ascii="Times New Roman" w:eastAsiaTheme="minorEastAsia" w:hAnsi="Times New Roman" w:cs="Times New Roman"/>
          <w:b/>
          <w:bCs/>
          <w:sz w:val="24"/>
          <w:szCs w:val="24"/>
          <w:lang w:val="en-GB" w:eastAsia="zh-CN"/>
        </w:rPr>
        <w:t>Table S1.</w:t>
      </w:r>
    </w:p>
    <w:p>
      <w:pPr>
        <w:rPr>
          <w:rFonts w:ascii="Times New Roman" w:eastAsiaTheme="minorEastAsia" w:hAnsi="Times New Roman" w:cs="Times New Roman"/>
          <w:sz w:val="24"/>
          <w:szCs w:val="24"/>
          <w:lang w:val="en-GB" w:eastAsia="zh-CN"/>
        </w:rPr>
      </w:pPr>
      <w:r>
        <w:rPr>
          <w:rFonts w:ascii="Times New Roman" w:eastAsiaTheme="minorEastAsia" w:hAnsi="Times New Roman" w:cs="Times New Roman"/>
          <w:sz w:val="24"/>
          <w:szCs w:val="24"/>
          <w:lang w:val="en-GB" w:eastAsia="zh-CN"/>
        </w:rPr>
        <w:br w:type="page"/>
      </w:r>
    </w:p>
    <w:p>
      <w:pPr>
        <w:spacing w:after="0" w:line="48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lastRenderedPageBreak/>
        <w:t>Table S1.</w:t>
      </w:r>
      <w:r>
        <w:rPr>
          <w:rFonts w:ascii="Times New Roman" w:hAnsi="Times New Roman" w:cs="Times New Roman"/>
          <w:sz w:val="24"/>
          <w:szCs w:val="24"/>
          <w:lang w:val="en-GB"/>
        </w:rPr>
        <w:t xml:space="preserve"> Composition of the wood cellulose pulp residue (WCPR)</w:t>
      </w:r>
    </w:p>
    <w:tbl>
      <w:tblPr>
        <w:tblStyle w:val="TableGrid"/>
        <w:tblW w:w="5000" w:type="pct"/>
        <w:tblLook w:val="04A0" w:firstRow="1" w:lastRow="0" w:firstColumn="1" w:lastColumn="0" w:noHBand="0" w:noVBand="1"/>
      </w:tblPr>
      <w:tblGrid>
        <w:gridCol w:w="2719"/>
        <w:gridCol w:w="2710"/>
        <w:gridCol w:w="2059"/>
        <w:gridCol w:w="841"/>
        <w:gridCol w:w="1011"/>
      </w:tblGrid>
      <w:tr>
        <w:trPr>
          <w:trHeight w:val="300"/>
        </w:trPr>
        <w:tc>
          <w:tcPr>
            <w:tcW w:w="1456" w:type="pct"/>
            <w:tcBorders>
              <w:top w:val="single" w:sz="8" w:space="0" w:color="auto"/>
              <w:left w:val="single" w:sz="8" w:space="0" w:color="auto"/>
              <w:bottom w:val="single" w:sz="8" w:space="0" w:color="auto"/>
              <w:right w:val="single" w:sz="8" w:space="0" w:color="auto"/>
            </w:tcBorders>
            <w:noWrap/>
            <w:hideMark/>
          </w:tcPr>
          <w:p>
            <w:pPr>
              <w:jc w:val="center"/>
              <w:rPr>
                <w:rFonts w:ascii="Times New Roman" w:hAnsi="Times New Roman" w:cs="Times New Roman"/>
                <w:sz w:val="24"/>
                <w:szCs w:val="24"/>
                <w:lang w:val="en-GB"/>
              </w:rPr>
            </w:pPr>
            <w:r>
              <w:rPr>
                <w:rFonts w:ascii="Times New Roman" w:hAnsi="Times New Roman" w:cs="Times New Roman"/>
                <w:sz w:val="24"/>
                <w:szCs w:val="24"/>
                <w:lang w:val="en-GB"/>
              </w:rPr>
              <w:t>Glucan (</w:t>
            </w:r>
            <w:proofErr w:type="spellStart"/>
            <w:r>
              <w:rPr>
                <w:rFonts w:ascii="Times New Roman" w:hAnsi="Times New Roman" w:cs="Times New Roman"/>
                <w:sz w:val="24"/>
                <w:szCs w:val="24"/>
                <w:lang w:val="en-GB"/>
              </w:rPr>
              <w:t>wt</w:t>
            </w:r>
            <w:proofErr w:type="spellEnd"/>
            <w:r>
              <w:rPr>
                <w:rFonts w:ascii="Times New Roman" w:hAnsi="Times New Roman" w:cs="Times New Roman"/>
                <w:sz w:val="24"/>
                <w:szCs w:val="24"/>
                <w:lang w:val="en-GB"/>
              </w:rPr>
              <w:t>% dry)</w:t>
            </w:r>
          </w:p>
        </w:tc>
        <w:tc>
          <w:tcPr>
            <w:tcW w:w="1451" w:type="pct"/>
            <w:tcBorders>
              <w:top w:val="single" w:sz="8" w:space="0" w:color="auto"/>
              <w:left w:val="single" w:sz="8" w:space="0" w:color="auto"/>
              <w:bottom w:val="single" w:sz="8" w:space="0" w:color="auto"/>
              <w:right w:val="single" w:sz="8" w:space="0" w:color="auto"/>
            </w:tcBorders>
            <w:noWrap/>
            <w:hideMark/>
          </w:tcPr>
          <w:p>
            <w:pPr>
              <w:jc w:val="center"/>
              <w:rPr>
                <w:rFonts w:ascii="Times New Roman" w:hAnsi="Times New Roman" w:cs="Times New Roman"/>
                <w:sz w:val="24"/>
                <w:szCs w:val="24"/>
                <w:lang w:val="en-GB"/>
              </w:rPr>
            </w:pPr>
            <w:r>
              <w:rPr>
                <w:rFonts w:ascii="Times New Roman" w:hAnsi="Times New Roman" w:cs="Times New Roman"/>
                <w:sz w:val="24"/>
                <w:szCs w:val="24"/>
                <w:lang w:val="en-GB"/>
              </w:rPr>
              <w:t>Lignin AIL − ash</w:t>
            </w:r>
          </w:p>
        </w:tc>
        <w:tc>
          <w:tcPr>
            <w:tcW w:w="1102" w:type="pct"/>
            <w:tcBorders>
              <w:top w:val="single" w:sz="8" w:space="0" w:color="auto"/>
              <w:left w:val="single" w:sz="8" w:space="0" w:color="auto"/>
              <w:bottom w:val="single" w:sz="8" w:space="0" w:color="auto"/>
              <w:right w:val="single" w:sz="8" w:space="0" w:color="auto"/>
            </w:tcBorders>
            <w:noWrap/>
            <w:hideMark/>
          </w:tcPr>
          <w:p>
            <w:pPr>
              <w:jc w:val="center"/>
              <w:rPr>
                <w:rFonts w:ascii="Times New Roman" w:hAnsi="Times New Roman" w:cs="Times New Roman"/>
                <w:sz w:val="24"/>
                <w:szCs w:val="24"/>
                <w:lang w:val="en-GB"/>
              </w:rPr>
            </w:pPr>
            <w:r>
              <w:rPr>
                <w:rFonts w:ascii="Times New Roman" w:hAnsi="Times New Roman" w:cs="Times New Roman"/>
                <w:sz w:val="24"/>
                <w:szCs w:val="24"/>
                <w:lang w:val="en-GB"/>
              </w:rPr>
              <w:t>Lignin ASL</w:t>
            </w:r>
          </w:p>
        </w:tc>
        <w:tc>
          <w:tcPr>
            <w:tcW w:w="450" w:type="pct"/>
            <w:tcBorders>
              <w:top w:val="single" w:sz="8" w:space="0" w:color="auto"/>
              <w:left w:val="single" w:sz="8" w:space="0" w:color="auto"/>
              <w:bottom w:val="single" w:sz="8" w:space="0" w:color="auto"/>
              <w:right w:val="single" w:sz="8" w:space="0" w:color="auto"/>
            </w:tcBorders>
            <w:noWrap/>
            <w:hideMark/>
          </w:tcPr>
          <w:p>
            <w:pPr>
              <w:jc w:val="center"/>
              <w:rPr>
                <w:rFonts w:ascii="Times New Roman" w:hAnsi="Times New Roman" w:cs="Times New Roman"/>
                <w:sz w:val="24"/>
                <w:szCs w:val="24"/>
                <w:lang w:val="en-GB"/>
              </w:rPr>
            </w:pPr>
            <w:r>
              <w:rPr>
                <w:rFonts w:ascii="Times New Roman" w:hAnsi="Times New Roman" w:cs="Times New Roman"/>
                <w:sz w:val="24"/>
                <w:szCs w:val="24"/>
                <w:lang w:val="en-GB"/>
              </w:rPr>
              <w:t>Ash</w:t>
            </w:r>
          </w:p>
        </w:tc>
        <w:tc>
          <w:tcPr>
            <w:tcW w:w="540" w:type="pct"/>
            <w:tcBorders>
              <w:top w:val="single" w:sz="8" w:space="0" w:color="auto"/>
              <w:left w:val="single" w:sz="8" w:space="0" w:color="auto"/>
              <w:bottom w:val="single" w:sz="8" w:space="0" w:color="auto"/>
              <w:right w:val="single" w:sz="8" w:space="0" w:color="auto"/>
            </w:tcBorders>
            <w:noWrap/>
            <w:hideMark/>
          </w:tcPr>
          <w:p>
            <w:pPr>
              <w:jc w:val="center"/>
              <w:rPr>
                <w:rFonts w:ascii="Times New Roman" w:hAnsi="Times New Roman" w:cs="Times New Roman"/>
                <w:sz w:val="24"/>
                <w:szCs w:val="24"/>
                <w:lang w:val="en-GB"/>
              </w:rPr>
            </w:pPr>
            <w:r>
              <w:rPr>
                <w:rFonts w:ascii="Times New Roman" w:hAnsi="Times New Roman" w:cs="Times New Roman"/>
                <w:sz w:val="24"/>
                <w:szCs w:val="24"/>
                <w:lang w:val="en-GB"/>
              </w:rPr>
              <w:t>Total</w:t>
            </w:r>
          </w:p>
        </w:tc>
      </w:tr>
      <w:tr>
        <w:trPr>
          <w:trHeight w:val="300"/>
        </w:trPr>
        <w:tc>
          <w:tcPr>
            <w:tcW w:w="1456" w:type="pct"/>
            <w:tcBorders>
              <w:top w:val="single" w:sz="8" w:space="0" w:color="auto"/>
              <w:left w:val="single" w:sz="8" w:space="0" w:color="auto"/>
              <w:bottom w:val="single" w:sz="8" w:space="0" w:color="auto"/>
              <w:right w:val="single" w:sz="8" w:space="0" w:color="auto"/>
            </w:tcBorders>
            <w:noWrap/>
            <w:hideMark/>
          </w:tcPr>
          <w:p>
            <w:pPr>
              <w:jc w:val="center"/>
              <w:rPr>
                <w:rFonts w:ascii="Times New Roman" w:hAnsi="Times New Roman" w:cs="Times New Roman"/>
                <w:sz w:val="24"/>
                <w:szCs w:val="24"/>
                <w:lang w:val="en-GB"/>
              </w:rPr>
            </w:pPr>
            <w:r>
              <w:rPr>
                <w:rFonts w:ascii="Times New Roman" w:hAnsi="Times New Roman" w:cs="Times New Roman"/>
                <w:sz w:val="24"/>
                <w:szCs w:val="24"/>
                <w:lang w:val="en-GB"/>
              </w:rPr>
              <w:t>62.26</w:t>
            </w:r>
          </w:p>
        </w:tc>
        <w:tc>
          <w:tcPr>
            <w:tcW w:w="1451" w:type="pct"/>
            <w:tcBorders>
              <w:top w:val="single" w:sz="8" w:space="0" w:color="auto"/>
              <w:left w:val="single" w:sz="8" w:space="0" w:color="auto"/>
              <w:bottom w:val="single" w:sz="8" w:space="0" w:color="auto"/>
              <w:right w:val="single" w:sz="8" w:space="0" w:color="auto"/>
            </w:tcBorders>
            <w:noWrap/>
            <w:hideMark/>
          </w:tcPr>
          <w:p>
            <w:pPr>
              <w:jc w:val="center"/>
              <w:rPr>
                <w:rFonts w:ascii="Times New Roman" w:hAnsi="Times New Roman" w:cs="Times New Roman"/>
                <w:sz w:val="24"/>
                <w:szCs w:val="24"/>
                <w:lang w:val="en-GB"/>
              </w:rPr>
            </w:pPr>
            <w:r>
              <w:rPr>
                <w:rFonts w:ascii="Times New Roman" w:hAnsi="Times New Roman" w:cs="Times New Roman"/>
                <w:sz w:val="24"/>
                <w:szCs w:val="24"/>
                <w:lang w:val="en-GB"/>
              </w:rPr>
              <w:t>30.90</w:t>
            </w:r>
          </w:p>
        </w:tc>
        <w:tc>
          <w:tcPr>
            <w:tcW w:w="1102" w:type="pct"/>
            <w:tcBorders>
              <w:top w:val="single" w:sz="8" w:space="0" w:color="auto"/>
              <w:left w:val="single" w:sz="8" w:space="0" w:color="auto"/>
              <w:bottom w:val="single" w:sz="8" w:space="0" w:color="auto"/>
              <w:right w:val="single" w:sz="8" w:space="0" w:color="auto"/>
            </w:tcBorders>
            <w:noWrap/>
            <w:hideMark/>
          </w:tcPr>
          <w:p>
            <w:pPr>
              <w:jc w:val="center"/>
              <w:rPr>
                <w:rFonts w:ascii="Times New Roman" w:hAnsi="Times New Roman" w:cs="Times New Roman"/>
                <w:sz w:val="24"/>
                <w:szCs w:val="24"/>
                <w:lang w:val="en-GB"/>
              </w:rPr>
            </w:pPr>
            <w:r>
              <w:rPr>
                <w:rFonts w:ascii="Times New Roman" w:hAnsi="Times New Roman" w:cs="Times New Roman"/>
                <w:sz w:val="24"/>
                <w:szCs w:val="24"/>
                <w:lang w:val="en-GB"/>
              </w:rPr>
              <w:t>0.14</w:t>
            </w:r>
          </w:p>
        </w:tc>
        <w:tc>
          <w:tcPr>
            <w:tcW w:w="450" w:type="pct"/>
            <w:tcBorders>
              <w:top w:val="single" w:sz="8" w:space="0" w:color="auto"/>
              <w:left w:val="single" w:sz="8" w:space="0" w:color="auto"/>
              <w:bottom w:val="single" w:sz="8" w:space="0" w:color="auto"/>
              <w:right w:val="single" w:sz="8" w:space="0" w:color="auto"/>
            </w:tcBorders>
            <w:noWrap/>
            <w:hideMark/>
          </w:tcPr>
          <w:p>
            <w:pPr>
              <w:jc w:val="center"/>
              <w:rPr>
                <w:rFonts w:ascii="Times New Roman" w:hAnsi="Times New Roman" w:cs="Times New Roman"/>
                <w:sz w:val="24"/>
                <w:szCs w:val="24"/>
                <w:lang w:val="en-GB"/>
              </w:rPr>
            </w:pPr>
            <w:r>
              <w:rPr>
                <w:rFonts w:ascii="Times New Roman" w:hAnsi="Times New Roman" w:cs="Times New Roman"/>
                <w:sz w:val="24"/>
                <w:szCs w:val="24"/>
                <w:lang w:val="en-GB"/>
              </w:rPr>
              <w:t>1.4</w:t>
            </w:r>
          </w:p>
        </w:tc>
        <w:tc>
          <w:tcPr>
            <w:tcW w:w="540" w:type="pct"/>
            <w:tcBorders>
              <w:top w:val="single" w:sz="8" w:space="0" w:color="auto"/>
              <w:left w:val="single" w:sz="8" w:space="0" w:color="auto"/>
              <w:bottom w:val="single" w:sz="8" w:space="0" w:color="auto"/>
              <w:right w:val="single" w:sz="8" w:space="0" w:color="auto"/>
            </w:tcBorders>
            <w:noWrap/>
            <w:hideMark/>
          </w:tcPr>
          <w:p>
            <w:pPr>
              <w:jc w:val="center"/>
              <w:rPr>
                <w:rFonts w:ascii="Times New Roman" w:hAnsi="Times New Roman" w:cs="Times New Roman"/>
                <w:sz w:val="24"/>
                <w:szCs w:val="24"/>
                <w:lang w:val="en-GB"/>
              </w:rPr>
            </w:pPr>
            <w:r>
              <w:rPr>
                <w:rFonts w:ascii="Times New Roman" w:hAnsi="Times New Roman" w:cs="Times New Roman"/>
                <w:sz w:val="24"/>
                <w:szCs w:val="24"/>
                <w:lang w:val="en-GB"/>
              </w:rPr>
              <w:t>94.7</w:t>
            </w:r>
          </w:p>
        </w:tc>
      </w:tr>
      <w:tr>
        <w:trPr>
          <w:trHeight w:val="300"/>
        </w:trPr>
        <w:tc>
          <w:tcPr>
            <w:tcW w:w="1456" w:type="pct"/>
            <w:tcBorders>
              <w:top w:val="single" w:sz="8" w:space="0" w:color="auto"/>
              <w:left w:val="single" w:sz="8" w:space="0" w:color="auto"/>
              <w:bottom w:val="single" w:sz="8" w:space="0" w:color="auto"/>
              <w:right w:val="single" w:sz="8" w:space="0" w:color="auto"/>
            </w:tcBorders>
            <w:noWrap/>
          </w:tcPr>
          <w:p>
            <w:pPr>
              <w:jc w:val="center"/>
              <w:rPr>
                <w:rFonts w:ascii="Times New Roman" w:hAnsi="Times New Roman" w:cs="Times New Roman"/>
                <w:sz w:val="24"/>
                <w:szCs w:val="24"/>
                <w:lang w:val="en-GB"/>
              </w:rPr>
            </w:pPr>
            <w:r>
              <w:rPr>
                <w:rFonts w:ascii="Times New Roman" w:hAnsi="Times New Roman" w:cs="Times New Roman"/>
                <w:sz w:val="24"/>
                <w:szCs w:val="24"/>
                <w:lang w:val="en-GB"/>
              </w:rPr>
              <w:t>Lignin AIL</w:t>
            </w:r>
          </w:p>
        </w:tc>
        <w:tc>
          <w:tcPr>
            <w:tcW w:w="3544" w:type="pct"/>
            <w:gridSpan w:val="4"/>
            <w:tcBorders>
              <w:left w:val="single" w:sz="8" w:space="0" w:color="auto"/>
              <w:bottom w:val="single" w:sz="8" w:space="0" w:color="auto"/>
              <w:right w:val="single" w:sz="8" w:space="0" w:color="auto"/>
            </w:tcBorders>
            <w:noWrap/>
          </w:tcPr>
          <w:p>
            <w:pPr>
              <w:jc w:val="center"/>
              <w:rPr>
                <w:rFonts w:ascii="Times New Roman" w:hAnsi="Times New Roman" w:cs="Times New Roman"/>
                <w:sz w:val="24"/>
                <w:szCs w:val="24"/>
                <w:lang w:val="en-GB"/>
              </w:rPr>
            </w:pPr>
            <w:r>
              <w:rPr>
                <w:rFonts w:ascii="Times New Roman" w:hAnsi="Times New Roman" w:cs="Times New Roman"/>
                <w:sz w:val="24"/>
                <w:szCs w:val="24"/>
                <w:lang w:val="en-GB"/>
              </w:rPr>
              <w:t>Acid Insoluble Lignin</w:t>
            </w:r>
          </w:p>
        </w:tc>
      </w:tr>
      <w:tr>
        <w:trPr>
          <w:trHeight w:val="300"/>
        </w:trPr>
        <w:tc>
          <w:tcPr>
            <w:tcW w:w="1456" w:type="pct"/>
            <w:tcBorders>
              <w:top w:val="single" w:sz="8" w:space="0" w:color="auto"/>
              <w:left w:val="single" w:sz="8" w:space="0" w:color="auto"/>
              <w:bottom w:val="single" w:sz="8" w:space="0" w:color="auto"/>
              <w:right w:val="single" w:sz="8" w:space="0" w:color="auto"/>
            </w:tcBorders>
            <w:noWrap/>
          </w:tcPr>
          <w:p>
            <w:pPr>
              <w:jc w:val="center"/>
              <w:rPr>
                <w:rFonts w:ascii="Times New Roman" w:hAnsi="Times New Roman" w:cs="Times New Roman"/>
                <w:sz w:val="24"/>
                <w:szCs w:val="24"/>
                <w:lang w:val="en-GB"/>
              </w:rPr>
            </w:pPr>
            <w:r>
              <w:rPr>
                <w:rFonts w:ascii="Times New Roman" w:hAnsi="Times New Roman" w:cs="Times New Roman"/>
                <w:sz w:val="24"/>
                <w:szCs w:val="24"/>
                <w:lang w:val="en-GB"/>
              </w:rPr>
              <w:t>Lignin ASL</w:t>
            </w:r>
          </w:p>
        </w:tc>
        <w:tc>
          <w:tcPr>
            <w:tcW w:w="3544" w:type="pct"/>
            <w:gridSpan w:val="4"/>
            <w:tcBorders>
              <w:top w:val="single" w:sz="8" w:space="0" w:color="auto"/>
              <w:left w:val="single" w:sz="8" w:space="0" w:color="auto"/>
              <w:bottom w:val="single" w:sz="8" w:space="0" w:color="auto"/>
              <w:right w:val="single" w:sz="8" w:space="0" w:color="auto"/>
            </w:tcBorders>
            <w:noWrap/>
          </w:tcPr>
          <w:p>
            <w:pPr>
              <w:jc w:val="center"/>
              <w:rPr>
                <w:rFonts w:ascii="Times New Roman" w:hAnsi="Times New Roman" w:cs="Times New Roman"/>
                <w:sz w:val="24"/>
                <w:szCs w:val="24"/>
                <w:lang w:val="en-GB"/>
              </w:rPr>
            </w:pPr>
            <w:r>
              <w:rPr>
                <w:rFonts w:ascii="Times New Roman" w:hAnsi="Times New Roman" w:cs="Times New Roman"/>
                <w:sz w:val="24"/>
                <w:szCs w:val="24"/>
                <w:lang w:val="en-GB"/>
              </w:rPr>
              <w:t>Acid Soluble Lignin</w:t>
            </w:r>
          </w:p>
        </w:tc>
      </w:tr>
    </w:tbl>
    <w:p>
      <w:pPr>
        <w:spacing w:after="0" w:line="480" w:lineRule="auto"/>
        <w:jc w:val="both"/>
        <w:rPr>
          <w:rFonts w:ascii="Times New Roman" w:hAnsi="Times New Roman" w:cs="Times New Roman"/>
          <w:b/>
          <w:bCs/>
          <w:sz w:val="24"/>
          <w:szCs w:val="24"/>
          <w:lang w:val="en-GB"/>
        </w:rPr>
      </w:pPr>
    </w:p>
    <w:p>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In the acid solvolysis process, biomass is treated with sulfuric acid to break down its structure and facilitate the conversion process. Following this, the crude lignin oil still contains sulfuric acid, which is neutralized using calcium carbonate to prevent any residual acidity from affecting downstream processing or product stability. Additionally, the lignocellulose filter residue undergoes a methanol wash to remove any remaining soluble components. However, a potential concern arises regarding the efficiency of the washing step. It is conceivable that traces of sulfuric acid could remain trapped within the lignocellulosic matrix, particularly in regions where accessibility to the washing solvent is limited. This could lead to localized acidity in the final residue, which may influence subsequent processing steps. Specifically, the residual acid could act as a catalytic site during the conversion of WCPR to LGO. If this is the case, the presence of trapped acid may contribute to reaction kinetics, potentially enhancing LGO formation without requiring additional acid catalysts. Further investigation into the extent of acid retention and its catalytic role could provide valuable insights for optimizing both the solvolysis and conversion processes.</w:t>
      </w:r>
    </w:p>
    <w:p>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pPr>
        <w:spacing w:after="0"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S2.2. Analysis</w:t>
      </w:r>
    </w:p>
    <w:p>
      <w:pPr>
        <w:spacing w:after="0" w:line="480" w:lineRule="auto"/>
        <w:jc w:val="both"/>
        <w:rPr>
          <w:rFonts w:ascii="Times New Roman" w:hAnsi="Times New Roman" w:cs="Times New Roman"/>
          <w:b/>
          <w:bCs/>
          <w:sz w:val="24"/>
          <w:szCs w:val="24"/>
          <w:lang w:val="en-GB"/>
        </w:rPr>
      </w:pPr>
    </w:p>
    <w:p>
      <w:pPr>
        <w:spacing w:after="0" w:line="48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N</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adsorption at liquid nitrogen temperatures (77 K) was conducted using a Micromeritics micropore </w:t>
      </w:r>
      <w:proofErr w:type="spellStart"/>
      <w:r>
        <w:rPr>
          <w:rFonts w:ascii="Times New Roman" w:hAnsi="Times New Roman" w:cs="Times New Roman"/>
          <w:sz w:val="24"/>
          <w:szCs w:val="24"/>
          <w:lang w:val="en-GB"/>
        </w:rPr>
        <w:t>analyzer</w:t>
      </w:r>
      <w:proofErr w:type="spellEnd"/>
      <w:r>
        <w:rPr>
          <w:rFonts w:ascii="Times New Roman" w:hAnsi="Times New Roman" w:cs="Times New Roman"/>
          <w:sz w:val="24"/>
          <w:szCs w:val="24"/>
          <w:lang w:val="en-GB"/>
        </w:rPr>
        <w:t xml:space="preserve"> (Micromeritics ASAP 2020 instrument) to determine the BET surface area of both the raw and WT samples. Prior to conducting measurements, all samples (approximately 0.1 g) were degassed under vacuum at 110 °C for 12 h. High-resolution scanning electron microscopy (HR SEM) analysis of WCPR and WT WCPR samples was conducted using a FE-SEM SUPRA 35-VP instrument manufactured by Carl Zeiss. Carbon, hydrogen, nitrogen, and </w:t>
      </w:r>
      <w:proofErr w:type="spellStart"/>
      <w:r>
        <w:rPr>
          <w:rFonts w:ascii="Times New Roman" w:hAnsi="Times New Roman" w:cs="Times New Roman"/>
          <w:sz w:val="24"/>
          <w:szCs w:val="24"/>
          <w:lang w:val="en-GB"/>
        </w:rPr>
        <w:t>sulfur</w:t>
      </w:r>
      <w:proofErr w:type="spellEnd"/>
      <w:r>
        <w:rPr>
          <w:rFonts w:ascii="Times New Roman" w:hAnsi="Times New Roman" w:cs="Times New Roman"/>
          <w:sz w:val="24"/>
          <w:szCs w:val="24"/>
          <w:lang w:val="en-GB"/>
        </w:rPr>
        <w:t xml:space="preserve"> contents were determined using a CHNS elemental </w:t>
      </w:r>
      <w:proofErr w:type="spellStart"/>
      <w:r>
        <w:rPr>
          <w:rFonts w:ascii="Times New Roman" w:hAnsi="Times New Roman" w:cs="Times New Roman"/>
          <w:sz w:val="24"/>
          <w:szCs w:val="24"/>
          <w:lang w:val="en-GB"/>
        </w:rPr>
        <w:t>analyzer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vario</w:t>
      </w:r>
      <w:proofErr w:type="spellEnd"/>
      <w:r>
        <w:rPr>
          <w:rFonts w:ascii="Times New Roman" w:hAnsi="Times New Roman" w:cs="Times New Roman"/>
          <w:sz w:val="24"/>
          <w:szCs w:val="24"/>
          <w:lang w:val="en-GB"/>
        </w:rPr>
        <w:t xml:space="preserve"> EL cube (</w:t>
      </w:r>
      <w:proofErr w:type="spellStart"/>
      <w:r>
        <w:rPr>
          <w:rFonts w:ascii="Times New Roman" w:hAnsi="Times New Roman" w:cs="Times New Roman"/>
          <w:sz w:val="24"/>
          <w:szCs w:val="24"/>
          <w:lang w:val="en-GB"/>
        </w:rPr>
        <w:t>Elementar</w:t>
      </w:r>
      <w:proofErr w:type="spellEnd"/>
      <w:r>
        <w:rPr>
          <w:rFonts w:ascii="Times New Roman" w:hAnsi="Times New Roman" w:cs="Times New Roman"/>
          <w:sz w:val="24"/>
          <w:szCs w:val="24"/>
          <w:lang w:val="en-GB"/>
        </w:rPr>
        <w:t xml:space="preserve">, Hanau, Germany) operating in CHNS mode and using a thermal conductivity detector to determine carbon, hydrogen, and nitrogen, while an infrared detector was used to determine </w:t>
      </w:r>
      <w:proofErr w:type="spellStart"/>
      <w:r>
        <w:rPr>
          <w:rFonts w:ascii="Times New Roman" w:hAnsi="Times New Roman" w:cs="Times New Roman"/>
          <w:sz w:val="24"/>
          <w:szCs w:val="24"/>
          <w:lang w:val="en-GB"/>
        </w:rPr>
        <w:t>sulfur</w:t>
      </w:r>
      <w:proofErr w:type="spellEnd"/>
      <w:r>
        <w:rPr>
          <w:rFonts w:ascii="Times New Roman" w:hAnsi="Times New Roman" w:cs="Times New Roman"/>
          <w:sz w:val="24"/>
          <w:szCs w:val="24"/>
          <w:lang w:val="en-GB"/>
        </w:rPr>
        <w:t xml:space="preserve"> content. The instrument was calibrated with a </w:t>
      </w:r>
      <w:proofErr w:type="gramStart"/>
      <w:r>
        <w:rPr>
          <w:rFonts w:ascii="Times New Roman" w:hAnsi="Times New Roman" w:cs="Times New Roman"/>
          <w:sz w:val="24"/>
          <w:szCs w:val="24"/>
          <w:lang w:val="en-GB"/>
        </w:rPr>
        <w:t>low level</w:t>
      </w:r>
      <w:proofErr w:type="gramEnd"/>
      <w:r>
        <w:rPr>
          <w:rFonts w:ascii="Times New Roman" w:hAnsi="Times New Roman" w:cs="Times New Roman"/>
          <w:sz w:val="24"/>
          <w:szCs w:val="24"/>
          <w:lang w:val="en-GB"/>
        </w:rPr>
        <w:t xml:space="preserve"> N- and S- contents standard (67.65% C, 4.95% H, 0.72% N, 0.84% S) available from </w:t>
      </w:r>
      <w:proofErr w:type="spellStart"/>
      <w:r>
        <w:rPr>
          <w:rFonts w:ascii="Times New Roman" w:hAnsi="Times New Roman" w:cs="Times New Roman"/>
          <w:sz w:val="24"/>
          <w:szCs w:val="24"/>
          <w:lang w:val="en-GB"/>
        </w:rPr>
        <w:t>Elementar</w:t>
      </w:r>
      <w:proofErr w:type="spellEnd"/>
      <w:r>
        <w:rPr>
          <w:rFonts w:ascii="Times New Roman" w:hAnsi="Times New Roman" w:cs="Times New Roman"/>
          <w:sz w:val="24"/>
          <w:szCs w:val="24"/>
          <w:lang w:val="en-GB"/>
        </w:rPr>
        <w:t>. The combustion and reduction tubes were set to 1150 and 850 °C, respectively. Finally, the CHNOS content was assessed on a dry basis by subtracting the water content.</w:t>
      </w:r>
    </w:p>
    <w:p>
      <w:pPr>
        <w:tabs>
          <w:tab w:val="right" w:pos="9026"/>
        </w:tabs>
        <w:spacing w:after="0" w:line="48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O = 100% ‒ C% ‒ H% ‒ N% ‒ S% ‒ moisture% ‒ ash%</w:t>
      </w:r>
      <w:r>
        <w:rPr>
          <w:rFonts w:ascii="Times New Roman" w:hAnsi="Times New Roman" w:cs="Times New Roman"/>
          <w:sz w:val="24"/>
          <w:szCs w:val="24"/>
          <w:lang w:val="en-GB"/>
        </w:rPr>
        <w:tab/>
        <w:t>(1)</w:t>
      </w:r>
    </w:p>
    <w:p>
      <w:pPr>
        <w:spacing w:after="0" w:line="48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X ray diffraction (XRD) was carried out using a powder X-ray diffraction detector </w:t>
      </w:r>
      <w:proofErr w:type="spellStart"/>
      <w:r>
        <w:rPr>
          <w:rFonts w:ascii="Times New Roman" w:hAnsi="Times New Roman" w:cs="Times New Roman"/>
          <w:sz w:val="24"/>
          <w:szCs w:val="24"/>
          <w:lang w:val="en-GB"/>
        </w:rPr>
        <w:t>PANalytical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XpertPro</w:t>
      </w:r>
      <w:proofErr w:type="spellEnd"/>
      <w:r>
        <w:rPr>
          <w:rFonts w:ascii="Times New Roman" w:hAnsi="Times New Roman" w:cs="Times New Roman"/>
          <w:sz w:val="24"/>
          <w:szCs w:val="24"/>
          <w:lang w:val="en-GB"/>
        </w:rPr>
        <w:t xml:space="preserve"> instrument) using </w:t>
      </w:r>
      <w:proofErr w:type="spellStart"/>
      <w:r>
        <w:rPr>
          <w:rFonts w:ascii="Times New Roman" w:hAnsi="Times New Roman" w:cs="Times New Roman"/>
          <w:sz w:val="24"/>
          <w:szCs w:val="24"/>
          <w:lang w:val="en-GB"/>
        </w:rPr>
        <w:t>CuK</w:t>
      </w:r>
      <w:proofErr w:type="spellEnd"/>
      <w:r>
        <w:rPr>
          <w:rFonts w:ascii="Times New Roman" w:hAnsi="Times New Roman" w:cs="Times New Roman"/>
          <w:sz w:val="24"/>
          <w:szCs w:val="24"/>
          <w:lang w:val="en-GB"/>
        </w:rPr>
        <w:t xml:space="preserve">α1 radiation (1.54056 Ǻ) at 45 kV and 40 mA in the scanning range of 5° to 50° with a step of 0.033°. In order to examine the impact of WT on the overall crystalline structure of the feedstock, the crystallinity index (CI) was computed using the Segal method </w:t>
      </w:r>
      <w:r>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{"citationItems":[{"id":"ITEM-1","itemData":{"DOI":"10.1177/004051755902901003","ISSN":"00405175","abstract":"An empirical method for determining the crystallinity of native cellulose was studied with an x-ray diffractometer using the focusing and transmission techniques. The influence of fluctuations in the primary radiation and in the counting and recording processes have been determined. The intensity of the 002 interference and the amor phous scatter at 2 = 18ºwas measured. The percent crystalline material in the total cellulose was expressed by an x-ray “crystallinity index.” This was done for cotton cellulose decrystallized with aqueous solutions containing from 70% to nominally 100% ethylamine. The x-ray “crystallinity index” was correlated with acid hydrolysis crys tallinity, moisture regain, density, leveling-off degree of polymerization values, and infrared absorbance values for each sample. The results indicate that the crystallinity index is a time-saving empirical measure of relative crystallinity. The precision of the crystallinity index in terms of the several crystallinity criteria is given. Based on over 40 samples for which acid hydrolysis crystallinity values were available, the standard error was 6.5%. © 1959, Sage Publications. All rights reserved.","author":[{"dropping-particle":"","family":"Segal","given":"L.","non-dropping-particle":"","parse-names":false,"suffix":""},{"dropping-particle":"","family":"Creely","given":"J. J.","non-dropping-particle":"","parse-names":false,"suffix":""},{"dropping-particle":"","family":"Martin","given":"A. E.","non-dropping-particle":"","parse-names":false,"suffix":""},{"dropping-particle":"","family":"Conrad","given":"C. M.","non-dropping-particle":"","parse-names":false,"suffix":""}],"container-title":"Textile Research Journal","id":"ITEM-1","issue":"10","issued":{"date-parts":[["1959"]]},"page":"786-794","title":"An Empirical Method for Estimating the Degree of Crystallinity of Native Cellulose Using the X-Ray Diffractometer","type":"article-journal","volume":"29"},"uris":["http://www.mendeley.com/documents/?uuid=b3278d06-5526-4aa1-a19f-77af7752b020"]}],"mendeley":{"formattedCitation":"[1]","plainTextFormattedCitation":"[1]","previouslyFormattedCitation":"[1]"},"properties":{"noteIndex":0},"schema":"https://github.com/citation-style-language/schema/raw/master/csl-citation.json"}</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[1]</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The calculation involved determining the intensities of the (200) plane (I</w:t>
      </w:r>
      <w:r>
        <w:rPr>
          <w:rFonts w:ascii="Times New Roman" w:hAnsi="Times New Roman" w:cs="Times New Roman"/>
          <w:sz w:val="24"/>
          <w:szCs w:val="24"/>
          <w:vertAlign w:val="subscript"/>
          <w:lang w:val="en-GB"/>
        </w:rPr>
        <w:t>200</w:t>
      </w:r>
      <w:r>
        <w:rPr>
          <w:rFonts w:ascii="Times New Roman" w:hAnsi="Times New Roman" w:cs="Times New Roman"/>
          <w:sz w:val="24"/>
          <w:szCs w:val="24"/>
          <w:lang w:val="en-GB"/>
        </w:rPr>
        <w:t>) at 2θ = 22.4° and the amorphous regions (</w:t>
      </w:r>
      <w:proofErr w:type="spellStart"/>
      <w:r>
        <w:rPr>
          <w:rFonts w:ascii="Times New Roman" w:hAnsi="Times New Roman" w:cs="Times New Roman"/>
          <w:sz w:val="24"/>
          <w:szCs w:val="24"/>
          <w:lang w:val="en-GB"/>
        </w:rPr>
        <w:t>I</w:t>
      </w:r>
      <w:r>
        <w:rPr>
          <w:rFonts w:ascii="Times New Roman" w:hAnsi="Times New Roman" w:cs="Times New Roman"/>
          <w:sz w:val="24"/>
          <w:szCs w:val="24"/>
          <w:vertAlign w:val="subscript"/>
          <w:lang w:val="en-GB"/>
        </w:rPr>
        <w:t>am</w:t>
      </w:r>
      <w:proofErr w:type="spellEnd"/>
      <w:r>
        <w:rPr>
          <w:rFonts w:ascii="Times New Roman" w:hAnsi="Times New Roman" w:cs="Times New Roman"/>
          <w:sz w:val="24"/>
          <w:szCs w:val="24"/>
          <w:lang w:val="en-GB"/>
        </w:rPr>
        <w:t xml:space="preserve">) at 2θ = 18.0° which is the minimum between the 200 and 110 peaks </w:t>
      </w:r>
      <w:r>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{"citationItems":[{"id":"ITEM-1","itemData":{"DOI":"10.1007/s10570-005-9001-8","ISBN":"1057000590","ISSN":"09690239","abstract":"A comparative study of cellulose crystallinity based on the sample crystallinity and the cellulose content in plant fibres was performed for samples of different origin. Strong acid hydrolysis was found superior to agricultural fibre analysis and comprehensive plant fibre analysis for a consistent determination of the cellulose content. Crystallinity determinations were based on X-ray powder diffraction methods using side-loaded samples in reflection (Bragg-Brentano) mode. Rietveld refinements based on the recently published crystal structure of cellulose Iβ followed by integration of the crystalline and amorphous (background) parts were performed. This was shown to be straightforward to use and in many ways advantageous to traditional crystallinity determinations using the Segal or the Ruland - Vonk methods. The determined cellulose crystallinities were 90-100 g/100 g cellulose in plant-based fibres and 60-70 g/100 g cellulose in wood based fibres. These findings are significant in relation to strong fibre composites and bio-ethanol production. © Springer Science+Business Media, Inc. 2005.","author":[{"dropping-particle":"","family":"Thygesen","given":"Anders","non-dropping-particle":"","parse-names":false,"suffix":""},{"dropping-particle":"","family":"Oddershede","given":"Jette","non-dropping-particle":"","parse-names":false,"suffix":""},{"dropping-particle":"","family":"Lilholt","given":"Hans","non-dropping-particle":"","parse-names":false,"suffix":""},{"dropping-particle":"","family":"Thomsen","given":"Anne Belinda","non-dropping-particle":"","parse-names":false,"suffix":""},{"dropping-particle":"","family":"Ståhl","given":"Kenny","non-dropping-particle":"","parse-names":false,"suffix":""}],"container-title":"Cellulose","id":"ITEM-1","issue":"6","issued":{"date-parts":[["2005"]]},"page":"563-576","title":"On the determination of crystallinity and cellulose content in plant fibres","type":"article-journal","volume":"12"},"uris":["http://www.mendeley.com/documents/?uuid=cc4d1702-d81f-4716-8c25-38bffeb6b6ae"]},{"id":"ITEM-2","itemData":{"DOI":"10.1016/j.indcrop.2011.12.016","ISSN":"09266690","abstract":"Cellulose fibres and cellulose nanocrystals were extracted from rice husk. Fibres were obtained by submitting the industrial rice crop to alkali (NaOH) and bleaching treatments. Nanocrystals were extracted from these fibres using sulphuric acid (H 2SO 4) hydrolysis treatment. The material obtained after each stage of the treatments was carefully characterized and its chemical composition was determined. Morphological investigation was performed using scanning electron microscopy (SEM) and transmission electron microscopy (TEM). Fourier transform infrared (FTIR) spectroscopy showed the progressive removal of non-cellulosic constituents. X-ray diffraction (XRD) analysis revealed that the crystallinity increased with successive treatments. The thermal stability of the rice husk fibres and cellulose nanocrystals was also investigated using thermogravimetric analysis (TGA). © 2011 Elsevier B.V.","author":[{"dropping-particle":"","family":"Johar","given":"Nurain","non-dropping-particle":"","parse-names":false,"suffix":""},{"dropping-particle":"","family":"Ahmad","given":"Ishak","non-dropping-particle":"","parse-names":false,"suffix":""},{"dropping-particle":"","family":"Dufresne","given":"Alain","non-dropping-particle":"","parse-names":false,"suffix":""}],"container-title":"Industrial Crops and Products","id":"ITEM-2","issue":"1","issued":{"date-parts":[["2012"]]},"page":"93-99","publisher":"Elsevier B.V.","title":"Extraction, preparation and characterization of cellulose fibres and nanocrystals from rice husk","type":"article-journal","volume":"37"},"uris":["http://www.mendeley.com/documents/?uuid=ecf67b26-e07f-41d7-a5ca-65d6ecb96cb5"]}],"mendeley":{"formattedCitation":"[2,3]","plainTextFormattedCitation":"[2,3]","previouslyFormattedCitation":"[2,3]"},"properties":{"noteIndex":0},"schema":"https://github.com/citation-style-language/schema/raw/master/csl-citation.json"}</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[2,3]</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w:t>
      </w:r>
    </w:p>
    <w:p>
      <w:pPr>
        <w:tabs>
          <w:tab w:val="right" w:pos="9026"/>
        </w:tabs>
        <w:spacing w:after="0" w:line="48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CI = ((I</w:t>
      </w:r>
      <w:r>
        <w:rPr>
          <w:rFonts w:ascii="Times New Roman" w:hAnsi="Times New Roman" w:cs="Times New Roman"/>
          <w:sz w:val="24"/>
          <w:szCs w:val="24"/>
          <w:vertAlign w:val="subscript"/>
          <w:lang w:val="en-GB"/>
        </w:rPr>
        <w:t>200</w:t>
      </w:r>
      <w:r>
        <w:rPr>
          <w:rFonts w:ascii="Times New Roman" w:hAnsi="Times New Roman" w:cs="Times New Roman"/>
          <w:sz w:val="24"/>
          <w:szCs w:val="24"/>
          <w:lang w:val="en-GB"/>
        </w:rPr>
        <w:t>‒I</w:t>
      </w:r>
      <w:r>
        <w:rPr>
          <w:rFonts w:ascii="Times New Roman" w:hAnsi="Times New Roman" w:cs="Times New Roman"/>
          <w:sz w:val="24"/>
          <w:szCs w:val="24"/>
          <w:vertAlign w:val="subscript"/>
          <w:lang w:val="en-GB"/>
        </w:rPr>
        <w:t>am</w:t>
      </w:r>
      <w:r>
        <w:rPr>
          <w:rFonts w:ascii="Times New Roman" w:hAnsi="Times New Roman" w:cs="Times New Roman"/>
          <w:sz w:val="24"/>
          <w:szCs w:val="24"/>
          <w:lang w:val="en-GB"/>
        </w:rPr>
        <w:t>)/I</w:t>
      </w:r>
      <w:r>
        <w:rPr>
          <w:rFonts w:ascii="Times New Roman" w:hAnsi="Times New Roman" w:cs="Times New Roman"/>
          <w:sz w:val="24"/>
          <w:szCs w:val="24"/>
          <w:vertAlign w:val="subscript"/>
          <w:lang w:val="en-GB"/>
        </w:rPr>
        <w:t>200</w:t>
      </w:r>
      <w:r>
        <w:rPr>
          <w:rFonts w:ascii="Times New Roman" w:hAnsi="Times New Roman" w:cs="Times New Roman"/>
          <w:sz w:val="24"/>
          <w:szCs w:val="24"/>
          <w:lang w:val="en-GB"/>
        </w:rPr>
        <w:t>) × 100%</w:t>
      </w:r>
      <w:r>
        <w:rPr>
          <w:rFonts w:ascii="Times New Roman" w:hAnsi="Times New Roman" w:cs="Times New Roman"/>
          <w:sz w:val="24"/>
          <w:szCs w:val="24"/>
          <w:lang w:val="en-GB"/>
        </w:rPr>
        <w:tab/>
        <w:t>(2)</w:t>
      </w:r>
    </w:p>
    <w:p>
      <w:pPr>
        <w:tabs>
          <w:tab w:val="right" w:pos="9026"/>
        </w:tabs>
        <w:spacing w:after="0" w:line="48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crystallite size (CS) was evaluated using the Scherrer equation </w:t>
      </w:r>
      <w:r>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{"citationItems":[{"id":"ITEM-1","itemData":{"DOI":"10.1007/s10570-016-0893-2","ISBN":"1057001608932","ISSN":"1572882X","abstract":"In this study, ultrasound-assisted alkaline pretreatment is developed to evaluate the morphological and structural changes that occur during pretreatment of cellulose, and its effect on glucose production via enzymatic hydrolysis. The pretreated samples were characterized using scanning electron microscopy, infrared spectroscopy, and X-ray diffraction to understand the change in surface morphology, crystallinity and the fraction of cellulose Iβ and cellulose II. The combined pretreatment led to a great disruption of cellulose particles along with the formation of large pores and partial fibrillation. The effects of ultrasound irradiation time (2, 4 h), NaOH concentration (1–10 wt%), initial particle size (20–180 μm) and initial degree of polymerization (DP) of cellulose on structural changes and glucose yields were evaluated. The alkaline ultrasonic pretreatment resulted in a significant decrease in particle size of cellulose, besides significantly reducing the treatment time and NaOH concentration required to achieve a low crystallinity of cellulose. More than 2.5 times improvement in glucose yield was observed with 10 wt% NaOH and 4 h of sonication, compared to untreated samples. The glucose yields increased with increase in initial particle size of cellulose, while DP had no effect on glucose yields. The glucose yields exhibited an increasing tendency with increase in cellulose II fraction as a result of combined pretreatment.","author":[{"dropping-particle":"","family":"SriBala","given":"G.","non-dropping-particle":"","parse-names":false,"suffix":""},{"dropping-particle":"","family":"Chennuru","given":"Ramanaiah","non-dropping-particle":"","parse-names":false,"suffix":""},{"dropping-particle":"","family":"Mahapatra","given":"Sudarshan","non-dropping-particle":"","parse-names":false,"suffix":""},{"dropping-particle":"","family":"Vinu","given":"R.","non-dropping-particle":"","parse-names":false,"suffix":""}],"container-title":"Cellulose","id":"ITEM-1","issue":"3","issued":{"date-parts":[["2016"]]},"page":"1725-1740","publisher":"Springer Netherlands","title":"Effect of alkaline ultrasonic pretreatment on crystalline morphology and enzymatic hydrolysis of cellulose","type":"article-journal","volume":"23"},"uris":["http://www.mendeley.com/documents/?uuid=5a36bb1f-8031-4a38-ad7e-ef014c65a798"]}],"mendeley":{"formattedCitation":"[4]","plainTextFormattedCitation":"[4]","previouslyFormattedCitation":"[4]"},"properties":{"noteIndex":0},"schema":"https://github.com/citation-style-language/schema/raw/master/csl-citation.json"}</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[4]</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w:t>
      </w:r>
    </w:p>
    <w:p>
      <w:pPr>
        <w:tabs>
          <w:tab w:val="right" w:pos="9026"/>
        </w:tabs>
        <w:spacing w:after="0" w:line="48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CS = (</w:t>
      </w:r>
      <w:r>
        <w:rPr>
          <w:rFonts w:ascii="Times New Roman" w:hAnsi="Times New Roman" w:cs="Times New Roman"/>
          <w:i/>
          <w:iCs/>
          <w:sz w:val="24"/>
          <w:szCs w:val="24"/>
          <w:lang w:val="en-GB"/>
        </w:rPr>
        <w:t>κ</w:t>
      </w:r>
      <w:r>
        <w:rPr>
          <w:rFonts w:ascii="Times New Roman" w:hAnsi="Times New Roman" w:cs="Times New Roman"/>
          <w:sz w:val="24"/>
          <w:szCs w:val="24"/>
          <w:lang w:val="en-GB"/>
        </w:rPr>
        <w:t xml:space="preserve"> × λ)</w:t>
      </w:r>
      <w:proofErr w:type="gramStart"/>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β × </w:t>
      </w:r>
      <w:proofErr w:type="spellStart"/>
      <w:r>
        <w:rPr>
          <w:rFonts w:ascii="Times New Roman" w:hAnsi="Times New Roman" w:cs="Times New Roman"/>
          <w:sz w:val="24"/>
          <w:szCs w:val="24"/>
          <w:lang w:val="en-GB"/>
        </w:rPr>
        <w:t>cosθ</w:t>
      </w:r>
      <w:proofErr w:type="spellEnd"/>
      <w:r>
        <w:rPr>
          <w:rFonts w:ascii="Times New Roman" w:hAnsi="Times New Roman" w:cs="Times New Roman"/>
          <w:sz w:val="24"/>
          <w:szCs w:val="24"/>
          <w:lang w:val="en-GB"/>
        </w:rPr>
        <w:t>)</w:t>
      </w:r>
      <w:r>
        <w:rPr>
          <w:rFonts w:ascii="Times New Roman" w:hAnsi="Times New Roman" w:cs="Times New Roman"/>
          <w:sz w:val="24"/>
          <w:szCs w:val="24"/>
          <w:lang w:val="en-GB"/>
        </w:rPr>
        <w:tab/>
        <w:t>(3)</w:t>
      </w:r>
    </w:p>
    <w:p>
      <w:pPr>
        <w:spacing w:after="0"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where </w:t>
      </w:r>
      <w:r>
        <w:rPr>
          <w:rFonts w:ascii="Times New Roman" w:hAnsi="Times New Roman" w:cs="Times New Roman"/>
          <w:i/>
          <w:iCs/>
          <w:sz w:val="24"/>
          <w:szCs w:val="24"/>
          <w:lang w:val="en-GB"/>
        </w:rPr>
        <w:t>κ</w:t>
      </w:r>
      <w:r>
        <w:rPr>
          <w:rFonts w:ascii="Times New Roman" w:hAnsi="Times New Roman" w:cs="Times New Roman"/>
          <w:bCs/>
          <w:sz w:val="24"/>
          <w:szCs w:val="24"/>
          <w:lang w:val="en-GB"/>
        </w:rPr>
        <w:t xml:space="preserve"> is Scherrer constant (0.90), </w:t>
      </w:r>
      <w:r>
        <w:rPr>
          <w:rFonts w:ascii="Times New Roman" w:hAnsi="Times New Roman" w:cs="Times New Roman"/>
          <w:sz w:val="24"/>
          <w:szCs w:val="24"/>
          <w:lang w:val="en-GB"/>
        </w:rPr>
        <w:t>λ</w:t>
      </w:r>
      <w:r>
        <w:rPr>
          <w:rFonts w:ascii="Times New Roman" w:hAnsi="Times New Roman" w:cs="Times New Roman"/>
          <w:bCs/>
          <w:sz w:val="24"/>
          <w:szCs w:val="24"/>
          <w:lang w:val="en-GB"/>
        </w:rPr>
        <w:t xml:space="preserve"> is the X-ray wavelength (0.15406 nm), </w:t>
      </w:r>
      <w:r>
        <w:rPr>
          <w:rFonts w:ascii="Times New Roman" w:hAnsi="Times New Roman" w:cs="Times New Roman"/>
          <w:sz w:val="24"/>
          <w:szCs w:val="24"/>
          <w:lang w:val="en-GB"/>
        </w:rPr>
        <w:t>β</w:t>
      </w:r>
      <w:r>
        <w:rPr>
          <w:rFonts w:ascii="Times New Roman" w:hAnsi="Times New Roman" w:cs="Times New Roman"/>
          <w:bCs/>
          <w:sz w:val="24"/>
          <w:szCs w:val="24"/>
          <w:lang w:val="en-GB"/>
        </w:rPr>
        <w:t xml:space="preserve"> is the full width at half maximum (FWHM) of (200) peak, and </w:t>
      </w:r>
      <w:r>
        <w:rPr>
          <w:rFonts w:ascii="Times New Roman" w:hAnsi="Times New Roman" w:cs="Times New Roman"/>
          <w:sz w:val="24"/>
          <w:szCs w:val="24"/>
          <w:lang w:val="en-GB"/>
        </w:rPr>
        <w:t>θ</w:t>
      </w:r>
      <w:r>
        <w:rPr>
          <w:rFonts w:ascii="Times New Roman" w:hAnsi="Times New Roman" w:cs="Times New Roman"/>
          <w:bCs/>
          <w:sz w:val="24"/>
          <w:szCs w:val="24"/>
          <w:lang w:val="en-GB"/>
        </w:rPr>
        <w:t xml:space="preserve"> is diffraction angle of (200) plane </w:t>
      </w:r>
      <w:r>
        <w:rPr>
          <w:rFonts w:ascii="Times New Roman" w:hAnsi="Times New Roman" w:cs="Times New Roman"/>
          <w:bCs/>
          <w:sz w:val="24"/>
          <w:szCs w:val="24"/>
          <w:lang w:val="en-GB"/>
        </w:rPr>
        <w:fldChar w:fldCharType="begin" w:fldLock="1"/>
      </w:r>
      <w:r>
        <w:rPr>
          <w:rFonts w:ascii="Times New Roman" w:hAnsi="Times New Roman" w:cs="Times New Roman"/>
          <w:bCs/>
          <w:sz w:val="24"/>
          <w:szCs w:val="24"/>
          <w:lang w:val="en-GB"/>
        </w:rPr>
        <w:instrText>ADDIN CSL_CITATION {"citationItems":[{"id":"ITEM-1","itemData":{"DOI":"10.1016/j.biortech.2014.10.157","ISSN":"18732976","PMID":"25460979","abstract":"Wet and dry torrefaction of corncobs was conducted in high-pressure reactor and tube-type reactor, respectively. Effect of wet and dry torrefaction on chemical structure and pyrolysis behavior of corncobs was compared. The results showed that hemicellulose could be effectively removed from corncobs by torrefaction. However, dry torrefaction caused severe degradation of cellulose and the cross-linking and charring of corncobs. X-ray diffraction analysis revealed that crystallinity degree of corncobs was evidently enhanced during wet torrefaction, but reduced during dry torrefaction as raising treatment temperature. In thermogravimetric analysis, wet torrefied corncobs produced less carbonaceous residues than raw corncobs, while dry torrefied corncobs gave much more residues owing to increased content of acid insoluble lignin. Pyrolysis-gas chromatography/mass spectroscopy analysis indicated that wet torrefaction significantly promoted levoglucosan yield owing to the removal of alkali metals. Therefore, wet torrefaction can be considered as a more effective pretreatment method for fast pyrolysis of biomass.","author":[{"dropping-particle":"","family":"Zheng","given":"Anqing","non-dropping-particle":"","parse-names":false,"suffix":""},{"dropping-particle":"","family":"Zhao","given":"Zengli","non-dropping-particle":"","parse-names":false,"suffix":""},{"dropping-particle":"","family":"Chang","given":"Sheng","non-dropping-particle":"","parse-names":false,"suffix":""},{"dropping-particle":"","family":"Huang","given":"Zhen","non-dropping-particle":"","parse-names":false,"suffix":""},{"dropping-particle":"","family":"Zhao","given":"Kun","non-dropping-particle":"","parse-names":false,"suffix":""},{"dropping-particle":"","family":"Wei","given":"Guoqiang","non-dropping-particle":"","parse-names":false,"suffix":""},{"dropping-particle":"","family":"He","given":"Fang","non-dropping-particle":"","parse-names":false,"suffix":""},{"dropping-particle":"","family":"Li","given":"Haibin","non-dropping-particle":"","parse-names":false,"suffix":""}],"container-title":"Bioresource Technology","id":"ITEM-1","issued":{"date-parts":[["2015"]]},"page":"15-22","publisher":"Elsevier Ltd","title":"Comparison of the effect of wet and dry torrefaction on chemical structure and pyrolysis behavior of corncobs","type":"article-journal","volume":"176"},"uris":["http://www.mendeley.com/documents/?uuid=6910207a-6382-4733-8196-27866458cb76"]}],"mendeley":{"formattedCitation":"[5]","plainTextFormattedCitation":"[5]","previouslyFormattedCitation":"[5]"},"properties":{"noteIndex":0},"schema":"https://github.com/citation-style-language/schema/raw/master/csl-citation.json"}</w:instrText>
      </w:r>
      <w:r>
        <w:rPr>
          <w:rFonts w:ascii="Times New Roman" w:hAnsi="Times New Roman" w:cs="Times New Roman"/>
          <w:bCs/>
          <w:sz w:val="24"/>
          <w:szCs w:val="24"/>
          <w:lang w:val="en-GB"/>
        </w:rPr>
        <w:fldChar w:fldCharType="separate"/>
      </w:r>
      <w:r>
        <w:rPr>
          <w:rFonts w:ascii="Times New Roman" w:hAnsi="Times New Roman" w:cs="Times New Roman"/>
          <w:bCs/>
          <w:noProof/>
          <w:sz w:val="24"/>
          <w:szCs w:val="24"/>
          <w:lang w:val="en-GB"/>
        </w:rPr>
        <w:t>[5]</w:t>
      </w:r>
      <w:r>
        <w:rPr>
          <w:rFonts w:ascii="Times New Roman" w:hAnsi="Times New Roman" w:cs="Times New Roman"/>
          <w:bCs/>
          <w:sz w:val="24"/>
          <w:szCs w:val="24"/>
          <w:lang w:val="en-GB"/>
        </w:rPr>
        <w:fldChar w:fldCharType="end"/>
      </w:r>
      <w:r>
        <w:rPr>
          <w:rFonts w:ascii="Times New Roman" w:hAnsi="Times New Roman" w:cs="Times New Roman"/>
          <w:bCs/>
          <w:sz w:val="24"/>
          <w:szCs w:val="24"/>
          <w:lang w:val="en-GB"/>
        </w:rPr>
        <w:t>.</w:t>
      </w:r>
    </w:p>
    <w:p>
      <w:pPr>
        <w:spacing w:after="0" w:line="480" w:lineRule="auto"/>
        <w:ind w:firstLine="709"/>
        <w:jc w:val="both"/>
        <w:rPr>
          <w:rFonts w:ascii="Times New Roman" w:hAnsi="Times New Roman" w:cs="Times New Roman"/>
          <w:sz w:val="24"/>
          <w:szCs w:val="24"/>
          <w:lang w:val="en-GB"/>
        </w:rPr>
      </w:pPr>
      <w:r>
        <w:rPr>
          <w:rFonts w:ascii="Times New Roman" w:hAnsi="Times New Roman" w:cs="Times New Roman"/>
          <w:bCs/>
          <w:sz w:val="24"/>
          <w:szCs w:val="24"/>
          <w:lang w:val="en-GB"/>
        </w:rPr>
        <w:t>Investigation of the pyrolysis of raw material and WT samples was conducted using a TGA-IR (thermogravimetric analysis-infrared spectrometry) Spectrum 3 with EGA 4000 from PerkinElmer. Each test utilized approximately 10 mg of sample, and the heating process involved raising the temperature from 40 to 750 °C at a rate of 10 °C/min. A carrier gas of nitrogen with a purity exceeding 99.999% was employed, with a flow rate of 20 mL/min. The computer automatically recorded the experimental results obtained from TGA.</w:t>
      </w:r>
    </w:p>
    <w:p>
      <w:pPr>
        <w:spacing w:after="0" w:line="48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moisture, volatile matter, fixed carbon, and ash content of the raw and WT wood cellulose pulp residue were determined using proximate analysis method and a thermal gravimetric </w:t>
      </w:r>
      <w:proofErr w:type="spellStart"/>
      <w:r>
        <w:rPr>
          <w:rFonts w:ascii="Times New Roman" w:hAnsi="Times New Roman" w:cs="Times New Roman"/>
          <w:sz w:val="24"/>
          <w:szCs w:val="24"/>
          <w:lang w:val="en-GB"/>
        </w:rPr>
        <w:t>analyzer</w:t>
      </w:r>
      <w:proofErr w:type="spellEnd"/>
      <w:r>
        <w:rPr>
          <w:rFonts w:ascii="Times New Roman" w:hAnsi="Times New Roman" w:cs="Times New Roman"/>
          <w:sz w:val="24"/>
          <w:szCs w:val="24"/>
          <w:lang w:val="en-GB"/>
        </w:rPr>
        <w:t xml:space="preserve"> (Spectrum 3 with EGA 4000 from PerkinElmer) </w:t>
      </w:r>
      <w:r>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{"citationItems":[{"id":"ITEM-1","itemData":{"DOI":"10.1016/j.biortech.2013.03.197","ISSN":"18732976","PMID":"23644064","abstract":"This work proposes a 25. min-last thermogravimetric method as a tool to determine biomass sample's proximate analysis data (moisture, ash, volatile matter and fixed carbon contents) just by direct measure of weight changes on each sample's TG chart. Compared with international standards commonly used to that aim, TG is a faster and easier to develop technique. Obtained results were satisfactory, with AEE under 6% for moisture and volatile matter, close to 10% for fixed carbon determination and AAD of 1.6 points for ash content. © 2013 Elsevier Ltd.","author":[{"dropping-particle":"","family":"García","given":"Roberto","non-dropping-particle":"","parse-names":false,"suffix":""},{"dropping-particle":"","family":"Pizarro","given":"Consuelo","non-dropping-particle":"","parse-names":false,"suffix":""},{"dropping-particle":"","family":"Lavín","given":"Antonio G.","non-dropping-particle":"","parse-names":false,"suffix":""},{"dropping-particle":"","family":"Bueno","given":"Julio L.","non-dropping-particle":"","parse-names":false,"suffix":""}],"container-title":"Bioresource Technology","id":"ITEM-1","issued":{"date-parts":[["2013"]]},"page":"1-4","publisher":"Elsevier Ltd","title":"Biomass proximate analysis using thermogravimetry","type":"article-journal","volume":"139"},"uris":["http://www.mendeley.com/documents/?uuid=61c281f0-5ed4-4161-b3e1-bcab6c695341"]},{"id":"ITEM-2","itemData":{"DOI":"10.1016/j.fuel.2020.119379","ISSN":"00162361","abstract":"The present work studies the effects of oxidative torrefaction (OT) (200–290 °C, 0–8 vol% O2) on the combustion process of wood sphere in a single particle combustor (SPC, 1226 °C, 3.0 vol% O2, wet basis), together with such effects on the yield, reactivity and morphology of the high temperature produced char. Increased torrefaction O2 concentration and temperature both result in higher char yield and prolonged combustion time, and the SPC char yield can be described by a linear regression equation (R2 = 0.85) as a function of the decreased mass yield caused by the OT process. The correlation (R2 = 0.83) between the low heating rate char yield (i.e., fixed carbon content) and the torrefaction mass yield is also validated against literature data, indicating that mass yield is a good indicator for both the OT and traditional inert torrefaction. The TGA analysis suggests that the char reactivity is significantly reduced by raised OT temperature up to 290 °C, while is only limited influenced by the increase in O2 concentration (up to 8 vol% at OT temperature of 260 °C). The NMR analysis of the OT wood and the SEM observation of the OT char produce from SPC show some evidences that OT result in a more cross-linked aromatic structure, which may hinder the volatile release in the subsequent pyrolysis and thereby lead to less porous char surface and a denser and heavier char particle.","author":[{"dropping-particle":"","family":"Li","given":"Xin","non-dropping-particle":"","parse-names":false,"suffix":""},{"dropping-particle":"","family":"Lu","given":"Zhimin","non-dropping-particle":"","parse-names":false,"suffix":""},{"dropping-particle":"","family":"Chen","given":"Jinzheng","non-dropping-particle":"","parse-names":false,"suffix":""},{"dropping-particle":"","family":"Chen","given":"Xiaoxuan","non-dropping-particle":"","parse-names":false,"suffix":""},{"dropping-particle":"","family":"Jiang","given":"Yuan","non-dropping-particle":"","parse-names":false,"suffix":""},{"dropping-particle":"","family":"Jian","given":"Jie","non-dropping-particle":"","parse-names":false,"suffix":""},{"dropping-particle":"","family":"Yao","given":"Shunchun","non-dropping-particle":"","parse-names":false,"suffix":""}],"container-title":"Fuel","id":"ITEM-2","issued":{"date-parts":[["2021"]]},"page":"119379","publisher":"Elsevier Ltd","title":"Effect of oxidative torrefaction on high temperature combustion process of wood sphere","type":"article-journal","volume":"286"},"uris":["http://www.mendeley.com/documents/?uuid=4c844e00-ff21-436c-ae40-3939eb981f65"]}],"mendeley":{"formattedCitation":"[6,7]","plainTextFormattedCitation":"[6,7]","previouslyFormattedCitation":"[6,7]"},"properties":{"noteIndex":0},"schema":"https://github.com/citation-style-language/schema/raw/master/csl-citation.json"}</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[6,7]</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For this analysis, approximately 10 mg of the sample was subjected to a heating process in a nitrogen environment, starting from 40 °C and reaching 120 °C, with a 10 min hold to measure the moisture content (M, %). Next, a heating rate of 50 °C/min was programmed until 800 °C, and a 20 min hold was employed to measure the volatile matter (VM, %). To determine the ash content (Ash, %), the cooling process commenced with a cooling rate of ‒50 °C/min until 450 °C was reached, at which point the flue gas was replaced with air. Subsequently, a new heating ramp of 25 °C/min was initiated until 800 °C, and then maintained isothermally for 3 min. The fixed carbon content (FC, %) was calculated by taking the difference using the equation:</w:t>
      </w:r>
    </w:p>
    <w:p>
      <w:pPr>
        <w:tabs>
          <w:tab w:val="right" w:pos="9026"/>
        </w:tabs>
        <w:spacing w:after="0" w:line="48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FC = 100 ‒ (M + Ash + VM).</w:t>
      </w:r>
      <w:r>
        <w:rPr>
          <w:rFonts w:ascii="Times New Roman" w:hAnsi="Times New Roman" w:cs="Times New Roman"/>
          <w:sz w:val="24"/>
          <w:szCs w:val="24"/>
          <w:lang w:val="en-GB"/>
        </w:rPr>
        <w:tab/>
        <w:t>(4)</w:t>
      </w:r>
    </w:p>
    <w:p>
      <w:pPr>
        <w:tabs>
          <w:tab w:val="right" w:pos="9026"/>
        </w:tabs>
        <w:spacing w:after="0" w:line="480" w:lineRule="auto"/>
        <w:jc w:val="both"/>
        <w:rPr>
          <w:rFonts w:ascii="Times New Roman" w:hAnsi="Times New Roman"/>
          <w:bCs/>
          <w:sz w:val="24"/>
          <w:szCs w:val="24"/>
          <w:lang w:val="en-GB"/>
        </w:rPr>
      </w:pPr>
      <w:r>
        <w:rPr>
          <w:rFonts w:ascii="Times New Roman" w:hAnsi="Times New Roman" w:cs="Times New Roman"/>
          <w:bCs/>
          <w:sz w:val="24"/>
          <w:szCs w:val="24"/>
          <w:lang w:val="en-GB"/>
        </w:rPr>
        <w:lastRenderedPageBreak/>
        <w:t xml:space="preserve">Equation 5 was used to calculate the higher heating value (HHV) for both the WCPR and </w:t>
      </w:r>
      <w:r>
        <w:rPr>
          <w:rFonts w:ascii="Times New Roman" w:hAnsi="Times New Roman"/>
          <w:bCs/>
          <w:sz w:val="24"/>
          <w:szCs w:val="24"/>
          <w:lang w:val="en-GB"/>
        </w:rPr>
        <w:t>DT WCPR</w:t>
      </w:r>
      <w:r>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fldChar w:fldCharType="begin" w:fldLock="1"/>
      </w:r>
      <w:r>
        <w:rPr>
          <w:rFonts w:ascii="Times New Roman" w:hAnsi="Times New Roman" w:cs="Times New Roman"/>
          <w:bCs/>
          <w:sz w:val="24"/>
          <w:szCs w:val="24"/>
          <w:lang w:val="en-GB"/>
        </w:rPr>
        <w:instrText>ADDIN CSL_CITATION {"citationItems":[{"id":"ITEM-1","itemData":{"DOI":"10.1016/j.cej.2022.138134","ISSN":"13858947","abstract":"Chemical looping gasification (CLG) is a novel approach to efficiently convert rapeseed cake (RC) to tunable syngas and NH3. However, the low energy density of RC seriously hinders its utilization. Meanwhile, torrefaction is an effective pretreatment for biomass upgrading. Hence, the combination of torrefaction with CLG is proposed as an alternative technology to efficiently utilize RC. In this work, the effect of torrefaction temperature on the evolution behaviors of carbon and nitrogen in CLG of RC with Ca2Fe2O5 OC was systematically investigated using TG-FTIR. Results show that torrefaction can effectively improve the physiochemical properties of RC. The torrefied RC possesses higher energy density and HHV, and lower atomic H/C and O/C ratios. Additionally, higher torrefaction temperature can facilitate the thermal degradations of N-IN and labile N[sbnd]P, with the productions of NH3 and HCN. During CLG, the rise of OC/Fuel mass ratio can increase the yields of the major gases (CO2, CO, CH4, NH3 and HCN), owing to both the oxidative effect of the lattice oxygen (O*) and the catalytic effects of Fe3+ and Ca2+ in OC. Moreover, torrefaction pretreatment can improve the CLG behavior of RC and the optimal torrefaction temperature is 250 °C, attributing to the improvement of fuel stability after torrefaction. Besides, torrefaction can marginally reduce the yields of the major nitrogen species (NH3 and HCN). This is ascribed to both the more stable structure of heterocyclic-N and the insufficiency of H radical in the torrefied RC compared to the raw. These findings provide a feasible guidance for the effective insight in nitrogen evolution during CLG coupled with torrefaction, and thereafter for the efficient utilization of biomass.","author":[{"dropping-particle":"","family":"Niu","given":"Xin","non-dropping-particle":"","parse-names":false,"suffix":""},{"dropping-particle":"","family":"Xu","given":"Yonglai","non-dropping-particle":"","parse-names":false,"suffix":""},{"dropping-particle":"","family":"Shen","given":"Laihong","non-dropping-particle":"","parse-names":false,"suffix":""}],"container-title":"Chemical Engineering Journal","id":"ITEM-1","issued":{"date-parts":[["2022"]]},"page":"138134","publisher":"Elsevier B.V.","title":"Effect of torrefaction on the evolution of carbon and nitrogen during chemical looping gasification of rapeseed cake","type":"article-journal","volume":"450"},"uris":["http://www.mendeley.com/documents/?uuid=25723f32-68ee-4fb0-9ef9-36d8ecc2e7ea"]}],"mendeley":{"formattedCitation":"[8]","plainTextFormattedCitation":"[8]","previouslyFormattedCitation":"[8]"},"properties":{"noteIndex":0},"schema":"https://github.com/citation-style-language/schema/raw/master/csl-citation.json"}</w:instrText>
      </w:r>
      <w:r>
        <w:rPr>
          <w:rFonts w:ascii="Times New Roman" w:hAnsi="Times New Roman" w:cs="Times New Roman"/>
          <w:bCs/>
          <w:sz w:val="24"/>
          <w:szCs w:val="24"/>
          <w:lang w:val="en-GB"/>
        </w:rPr>
        <w:fldChar w:fldCharType="separate"/>
      </w:r>
      <w:r>
        <w:rPr>
          <w:rFonts w:ascii="Times New Roman" w:hAnsi="Times New Roman" w:cs="Times New Roman"/>
          <w:bCs/>
          <w:noProof/>
          <w:sz w:val="24"/>
          <w:szCs w:val="24"/>
          <w:lang w:val="en-GB"/>
        </w:rPr>
        <w:t>[8]</w:t>
      </w:r>
      <w:r>
        <w:rPr>
          <w:rFonts w:ascii="Times New Roman" w:hAnsi="Times New Roman" w:cs="Times New Roman"/>
          <w:bCs/>
          <w:sz w:val="24"/>
          <w:szCs w:val="24"/>
          <w:lang w:val="en-GB"/>
        </w:rPr>
        <w:fldChar w:fldCharType="end"/>
      </w:r>
      <w:r>
        <w:rPr>
          <w:rFonts w:ascii="Times New Roman" w:hAnsi="Times New Roman" w:cs="Times New Roman"/>
          <w:bCs/>
          <w:sz w:val="24"/>
          <w:szCs w:val="24"/>
          <w:lang w:val="en-GB"/>
        </w:rPr>
        <w:t>.</w:t>
      </w:r>
      <w:bookmarkStart w:id="1" w:name="_Hlk152017902"/>
    </w:p>
    <w:p>
      <w:pPr>
        <w:tabs>
          <w:tab w:val="right" w:pos="9026"/>
        </w:tabs>
        <w:spacing w:after="0" w:line="480" w:lineRule="auto"/>
        <w:jc w:val="both"/>
        <w:rPr>
          <w:rFonts w:ascii="Times New Roman" w:hAnsi="Times New Roman" w:cs="Times New Roman"/>
          <w:bCs/>
          <w:sz w:val="24"/>
          <w:szCs w:val="24"/>
          <w:lang w:val="en-GB"/>
        </w:rPr>
      </w:pPr>
    </w:p>
    <w:p>
      <w:pPr>
        <w:tabs>
          <w:tab w:val="right" w:pos="9026"/>
        </w:tabs>
        <w:spacing w:after="0" w:line="480" w:lineRule="auto"/>
        <w:jc w:val="both"/>
        <w:rPr>
          <w:rFonts w:ascii="Times New Roman" w:hAnsi="Times New Roman"/>
          <w:bCs/>
          <w:sz w:val="24"/>
          <w:szCs w:val="24"/>
          <w:lang w:val="en-GB"/>
        </w:rPr>
      </w:pPr>
      <w:r>
        <w:rPr>
          <w:rFonts w:ascii="Times New Roman" w:hAnsi="Times New Roman" w:cs="Times New Roman"/>
          <w:bCs/>
          <w:sz w:val="24"/>
          <w:szCs w:val="24"/>
          <w:lang w:val="en-GB"/>
        </w:rPr>
        <w:t xml:space="preserve">HHV (MJ/kg) = 0.3491×C + 1.1783×H – 0.1034×O + 0.1005×S – 0.0151×N – 0.0211×A </w:t>
      </w:r>
      <w:r>
        <w:rPr>
          <w:rFonts w:ascii="Times New Roman" w:hAnsi="Times New Roman" w:cs="Times New Roman"/>
          <w:bCs/>
          <w:sz w:val="24"/>
          <w:szCs w:val="24"/>
          <w:lang w:val="en-GB"/>
        </w:rPr>
        <w:tab/>
        <w:t>(5)</w:t>
      </w:r>
      <w:bookmarkEnd w:id="1"/>
    </w:p>
    <w:p>
      <w:pPr>
        <w:tabs>
          <w:tab w:val="right" w:pos="9026"/>
        </w:tabs>
        <w:spacing w:after="0" w:line="480" w:lineRule="auto"/>
        <w:jc w:val="both"/>
        <w:rPr>
          <w:rFonts w:ascii="Times New Roman" w:hAnsi="Times New Roman" w:cs="Times New Roman"/>
          <w:bCs/>
          <w:sz w:val="24"/>
          <w:szCs w:val="24"/>
          <w:lang w:val="en-GB"/>
        </w:rPr>
      </w:pPr>
    </w:p>
    <w:p>
      <w:pPr>
        <w:spacing w:after="0" w:line="480" w:lineRule="auto"/>
        <w:ind w:firstLine="709"/>
        <w:jc w:val="both"/>
        <w:rPr>
          <w:rFonts w:ascii="Times New Roman" w:hAnsi="Times New Roman" w:cs="Times New Roman"/>
          <w:sz w:val="24"/>
          <w:szCs w:val="24"/>
          <w:lang w:val="en-GB"/>
        </w:rPr>
      </w:pPr>
      <w:r>
        <w:rPr>
          <w:rFonts w:ascii="Times New Roman" w:hAnsi="Times New Roman" w:cs="Times New Roman"/>
          <w:bCs/>
          <w:sz w:val="24"/>
          <w:szCs w:val="24"/>
          <w:lang w:val="en-GB"/>
        </w:rPr>
        <w:t>In Equation 5, C, H, O, S, N and A represent the carbon, hydrogen, oxygen</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sulfur</w:t>
      </w:r>
      <w:proofErr w:type="spellEnd"/>
      <w:r>
        <w:rPr>
          <w:rFonts w:ascii="Times New Roman" w:hAnsi="Times New Roman" w:cs="Times New Roman"/>
          <w:sz w:val="24"/>
          <w:szCs w:val="24"/>
          <w:lang w:val="en-GB"/>
        </w:rPr>
        <w:t xml:space="preserve">, nitrogen, and ash contents, respectively, obtained from the elemental analysis and expressed as weight percentages on a dry basis. The use of these equations enables the calculation of both the higher and lower heating values of the biomass. This, in turn, offers a comprehensive understanding of the energy properties of the biomass during torrefaction conditions. </w:t>
      </w:r>
    </w:p>
    <w:p>
      <w:pPr>
        <w:spacing w:after="0" w:line="48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The formulas used to calculate the solid yield and energy yield of the torrefied samples were as follows:</w:t>
      </w:r>
    </w:p>
    <w:p>
      <w:pPr>
        <w:tabs>
          <w:tab w:val="right" w:pos="9026"/>
        </w:tabs>
        <w:spacing w:after="0" w:line="48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Y</w:t>
      </w:r>
      <w:r>
        <w:rPr>
          <w:rFonts w:ascii="Times New Roman" w:hAnsi="Times New Roman" w:cs="Times New Roman"/>
          <w:sz w:val="24"/>
          <w:szCs w:val="24"/>
          <w:vertAlign w:val="subscript"/>
          <w:lang w:val="en-GB"/>
        </w:rPr>
        <w:t>solid</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m</w:t>
      </w:r>
      <w:r>
        <w:rPr>
          <w:rFonts w:ascii="Times New Roman" w:hAnsi="Times New Roman" w:cs="Times New Roman"/>
          <w:sz w:val="24"/>
          <w:szCs w:val="24"/>
          <w:vertAlign w:val="subscript"/>
          <w:lang w:val="en-GB"/>
        </w:rPr>
        <w:t>poduct</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m</w:t>
      </w:r>
      <w:r>
        <w:rPr>
          <w:rFonts w:ascii="Times New Roman" w:hAnsi="Times New Roman" w:cs="Times New Roman"/>
          <w:sz w:val="24"/>
          <w:szCs w:val="24"/>
          <w:vertAlign w:val="subscript"/>
          <w:lang w:val="en-GB"/>
        </w:rPr>
        <w:t>feedstock</w:t>
      </w:r>
      <w:proofErr w:type="spellEnd"/>
      <w:r>
        <w:rPr>
          <w:rFonts w:ascii="Times New Roman" w:hAnsi="Times New Roman" w:cs="Times New Roman"/>
          <w:sz w:val="24"/>
          <w:szCs w:val="24"/>
          <w:lang w:val="en-GB"/>
        </w:rPr>
        <w:t>) × 100%</w:t>
      </w:r>
      <w:r>
        <w:rPr>
          <w:rFonts w:ascii="Times New Roman" w:hAnsi="Times New Roman" w:cs="Times New Roman"/>
          <w:sz w:val="24"/>
          <w:szCs w:val="24"/>
          <w:lang w:val="en-GB"/>
        </w:rPr>
        <w:tab/>
        <w:t>(6)</w:t>
      </w:r>
    </w:p>
    <w:p>
      <w:pPr>
        <w:tabs>
          <w:tab w:val="right" w:pos="9026"/>
        </w:tabs>
        <w:spacing w:after="0" w:line="48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Y</w:t>
      </w:r>
      <w:r>
        <w:rPr>
          <w:rFonts w:ascii="Times New Roman" w:hAnsi="Times New Roman" w:cs="Times New Roman"/>
          <w:sz w:val="24"/>
          <w:szCs w:val="24"/>
          <w:vertAlign w:val="subscript"/>
          <w:lang w:val="en-GB"/>
        </w:rPr>
        <w:t>energy</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Y</w:t>
      </w:r>
      <w:r>
        <w:rPr>
          <w:rFonts w:ascii="Times New Roman" w:hAnsi="Times New Roman" w:cs="Times New Roman"/>
          <w:sz w:val="24"/>
          <w:szCs w:val="24"/>
          <w:vertAlign w:val="subscript"/>
          <w:lang w:val="en-GB"/>
        </w:rPr>
        <w:t>solid</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HHV</w:t>
      </w:r>
      <w:r>
        <w:rPr>
          <w:rFonts w:ascii="Times New Roman" w:hAnsi="Times New Roman" w:cs="Times New Roman"/>
          <w:sz w:val="24"/>
          <w:szCs w:val="24"/>
          <w:vertAlign w:val="subscript"/>
          <w:lang w:val="en-GB"/>
        </w:rPr>
        <w:t>product</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HHV</w:t>
      </w:r>
      <w:r>
        <w:rPr>
          <w:rFonts w:ascii="Times New Roman" w:hAnsi="Times New Roman" w:cs="Times New Roman"/>
          <w:sz w:val="24"/>
          <w:szCs w:val="24"/>
          <w:vertAlign w:val="subscript"/>
          <w:lang w:val="en-GB"/>
        </w:rPr>
        <w:t>feedstock</w:t>
      </w:r>
      <w:proofErr w:type="spellEnd"/>
      <w:r>
        <w:rPr>
          <w:rFonts w:ascii="Times New Roman" w:hAnsi="Times New Roman" w:cs="Times New Roman"/>
          <w:sz w:val="24"/>
          <w:szCs w:val="24"/>
          <w:lang w:val="en-GB"/>
        </w:rPr>
        <w:t xml:space="preserve">) × 100% = </w:t>
      </w:r>
      <w:proofErr w:type="spellStart"/>
      <w:r>
        <w:rPr>
          <w:rFonts w:ascii="Times New Roman" w:hAnsi="Times New Roman" w:cs="Times New Roman"/>
          <w:sz w:val="24"/>
          <w:szCs w:val="24"/>
          <w:lang w:val="en-GB"/>
        </w:rPr>
        <w:t>Y</w:t>
      </w:r>
      <w:r>
        <w:rPr>
          <w:rFonts w:ascii="Times New Roman" w:hAnsi="Times New Roman" w:cs="Times New Roman"/>
          <w:sz w:val="24"/>
          <w:szCs w:val="24"/>
          <w:vertAlign w:val="subscript"/>
          <w:lang w:val="en-GB"/>
        </w:rPr>
        <w:t>solid</w:t>
      </w:r>
      <w:proofErr w:type="spellEnd"/>
      <w:r>
        <w:rPr>
          <w:rFonts w:ascii="Times New Roman" w:hAnsi="Times New Roman" w:cs="Times New Roman"/>
          <w:sz w:val="24"/>
          <w:szCs w:val="24"/>
          <w:lang w:val="en-GB"/>
        </w:rPr>
        <w:t xml:space="preserve"> × Enhancement factor</w:t>
      </w:r>
      <w:r>
        <w:rPr>
          <w:rFonts w:ascii="Times New Roman" w:hAnsi="Times New Roman" w:cs="Times New Roman"/>
          <w:sz w:val="24"/>
          <w:szCs w:val="24"/>
          <w:lang w:val="en-GB"/>
        </w:rPr>
        <w:tab/>
        <w:t>(7)</w:t>
      </w:r>
    </w:p>
    <w:p>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where </w:t>
      </w:r>
      <w:proofErr w:type="spellStart"/>
      <w:r>
        <w:rPr>
          <w:rFonts w:ascii="Times New Roman" w:hAnsi="Times New Roman" w:cs="Times New Roman"/>
          <w:sz w:val="24"/>
          <w:szCs w:val="24"/>
          <w:lang w:val="en-GB"/>
        </w:rPr>
        <w:t>Y</w:t>
      </w:r>
      <w:r>
        <w:rPr>
          <w:rFonts w:ascii="Times New Roman" w:hAnsi="Times New Roman" w:cs="Times New Roman"/>
          <w:sz w:val="24"/>
          <w:szCs w:val="24"/>
          <w:vertAlign w:val="subscript"/>
          <w:lang w:val="en-GB"/>
        </w:rPr>
        <w:t>solid</w:t>
      </w:r>
      <w:proofErr w:type="spellEnd"/>
      <w:r>
        <w:rPr>
          <w:rFonts w:ascii="Times New Roman" w:hAnsi="Times New Roman" w:cs="Times New Roman"/>
          <w:sz w:val="24"/>
          <w:szCs w:val="24"/>
          <w:lang w:val="en-GB"/>
        </w:rPr>
        <w:t xml:space="preserve"> and </w:t>
      </w:r>
      <w:proofErr w:type="spellStart"/>
      <w:r>
        <w:rPr>
          <w:rFonts w:ascii="Times New Roman" w:hAnsi="Times New Roman" w:cs="Times New Roman"/>
          <w:sz w:val="24"/>
          <w:szCs w:val="24"/>
          <w:lang w:val="en-GB"/>
        </w:rPr>
        <w:t>Y</w:t>
      </w:r>
      <w:r>
        <w:rPr>
          <w:rFonts w:ascii="Times New Roman" w:hAnsi="Times New Roman" w:cs="Times New Roman"/>
          <w:sz w:val="24"/>
          <w:szCs w:val="24"/>
          <w:vertAlign w:val="subscript"/>
          <w:lang w:val="en-GB"/>
        </w:rPr>
        <w:t>energy</w:t>
      </w:r>
      <w:proofErr w:type="spellEnd"/>
      <w:r>
        <w:rPr>
          <w:rFonts w:ascii="Times New Roman" w:hAnsi="Times New Roman" w:cs="Times New Roman"/>
          <w:sz w:val="24"/>
          <w:szCs w:val="24"/>
          <w:lang w:val="en-GB"/>
        </w:rPr>
        <w:t xml:space="preserve"> refer to the solid yield and energy yield, respectively. </w:t>
      </w:r>
      <w:proofErr w:type="spellStart"/>
      <w:r>
        <w:rPr>
          <w:rFonts w:ascii="Times New Roman" w:hAnsi="Times New Roman" w:cs="Times New Roman"/>
          <w:sz w:val="24"/>
          <w:szCs w:val="24"/>
          <w:lang w:val="en-GB"/>
        </w:rPr>
        <w:t>m</w:t>
      </w:r>
      <w:r>
        <w:rPr>
          <w:rFonts w:ascii="Times New Roman" w:hAnsi="Times New Roman" w:cs="Times New Roman"/>
          <w:sz w:val="24"/>
          <w:szCs w:val="24"/>
          <w:vertAlign w:val="subscript"/>
          <w:lang w:val="en-GB"/>
        </w:rPr>
        <w:t>feedstock</w:t>
      </w:r>
      <w:proofErr w:type="spellEnd"/>
      <w:r>
        <w:rPr>
          <w:rFonts w:ascii="Times New Roman" w:hAnsi="Times New Roman" w:cs="Times New Roman"/>
          <w:sz w:val="24"/>
          <w:szCs w:val="24"/>
          <w:lang w:val="en-GB"/>
        </w:rPr>
        <w:t xml:space="preserve"> and </w:t>
      </w:r>
      <w:proofErr w:type="spellStart"/>
      <w:r>
        <w:rPr>
          <w:rFonts w:ascii="Times New Roman" w:hAnsi="Times New Roman" w:cs="Times New Roman"/>
          <w:sz w:val="24"/>
          <w:szCs w:val="24"/>
          <w:lang w:val="en-GB"/>
        </w:rPr>
        <w:t>m</w:t>
      </w:r>
      <w:r>
        <w:rPr>
          <w:rFonts w:ascii="Times New Roman" w:hAnsi="Times New Roman" w:cs="Times New Roman"/>
          <w:sz w:val="24"/>
          <w:szCs w:val="24"/>
          <w:vertAlign w:val="subscript"/>
          <w:lang w:val="en-GB"/>
        </w:rPr>
        <w:t>product</w:t>
      </w:r>
      <w:proofErr w:type="spellEnd"/>
      <w:r>
        <w:rPr>
          <w:rFonts w:ascii="Times New Roman" w:hAnsi="Times New Roman" w:cs="Times New Roman"/>
          <w:sz w:val="24"/>
          <w:szCs w:val="24"/>
          <w:lang w:val="en-GB"/>
        </w:rPr>
        <w:t xml:space="preserve"> indicate the mass of the initial samples and solid product after torrefaction, respectively. </w:t>
      </w:r>
      <w:proofErr w:type="spellStart"/>
      <w:r>
        <w:rPr>
          <w:rFonts w:ascii="Times New Roman" w:hAnsi="Times New Roman" w:cs="Times New Roman"/>
          <w:sz w:val="24"/>
          <w:szCs w:val="24"/>
          <w:lang w:val="en-GB"/>
        </w:rPr>
        <w:t>HHV</w:t>
      </w:r>
      <w:r>
        <w:rPr>
          <w:rFonts w:ascii="Times New Roman" w:hAnsi="Times New Roman" w:cs="Times New Roman"/>
          <w:sz w:val="24"/>
          <w:szCs w:val="24"/>
          <w:vertAlign w:val="subscript"/>
          <w:lang w:val="en-GB"/>
        </w:rPr>
        <w:t>feedstock</w:t>
      </w:r>
      <w:proofErr w:type="spellEnd"/>
      <w:r>
        <w:rPr>
          <w:rFonts w:ascii="Times New Roman" w:hAnsi="Times New Roman" w:cs="Times New Roman"/>
          <w:sz w:val="24"/>
          <w:szCs w:val="24"/>
          <w:lang w:val="en-GB"/>
        </w:rPr>
        <w:t xml:space="preserve"> and </w:t>
      </w:r>
      <w:proofErr w:type="spellStart"/>
      <w:r>
        <w:rPr>
          <w:rFonts w:ascii="Times New Roman" w:hAnsi="Times New Roman" w:cs="Times New Roman"/>
          <w:sz w:val="24"/>
          <w:szCs w:val="24"/>
          <w:lang w:val="en-GB"/>
        </w:rPr>
        <w:t>HHV</w:t>
      </w:r>
      <w:r>
        <w:rPr>
          <w:rFonts w:ascii="Times New Roman" w:hAnsi="Times New Roman" w:cs="Times New Roman"/>
          <w:sz w:val="24"/>
          <w:szCs w:val="24"/>
          <w:vertAlign w:val="subscript"/>
          <w:lang w:val="en-GB"/>
        </w:rPr>
        <w:t>product</w:t>
      </w:r>
      <w:proofErr w:type="spellEnd"/>
      <w:r>
        <w:rPr>
          <w:rFonts w:ascii="Times New Roman" w:hAnsi="Times New Roman" w:cs="Times New Roman"/>
          <w:sz w:val="24"/>
          <w:szCs w:val="24"/>
          <w:lang w:val="en-GB"/>
        </w:rPr>
        <w:t xml:space="preserve"> represent the higher heating value (in kJ/kg) of the original samples and solid product after torrefaction, respectively </w:t>
      </w:r>
      <w:r>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{"citationItems":[{"id":"ITEM-1","itemData":{"DOI":"10.1016/j.enconman.2018.05.063","ISSN":"01968904","abstract":"In this work, torrefaction of hemicellulose, cellulose, and lignin were studied at a series of torrefaction temperatures (210, 240, 270, and 300 °C) based on the properties of their three-phase products, namely solid, liquid (water and tar), and gaseous products. Among the three biomass components, significant difference of torrefaction characteristics was found due to their different molecular structures. For the solid product, hemicellulose presented lowest yield from 85.65% to 41.54% as the temperature increased because of the poor thermostability, thereby showing obvious variations in carbon and oxygen contents. For the gaseous product, CO2, followed by CO, were the dominant gaseous components in all torrefaction conditions including different feedstock and temperatures; also a small number of other components (H2 and CH4) were produced during torrefaction of lignin. The liquid product was composed of water and a small amount of tar. For the tar product, acids and ketones were the dominant components in the torrefaction of hemicellulose, while anhydrosugar in the torrefaction of cellulose, and phenols in the torrefaction of lignin. As the temperature increased from 210 °C to 300 °C, about 19.76–71.11%, 5.85–33.27%, and 16.28–44.89% of oxygen from hemicellulose, cellulose, and lignin, respectively, was transformed into the liquid and gaseous products. Dehydration reaction and volatilization of the oxygenated gaseous product were the two dominant deoxygenation pathways, and the water, CO2, and CO were the dominant carriers of oxygen migration. In contrast to oxygen, only a small amount of carbon was transferred into tar product, followed by gaseous product, consequently the solid samples still retained most of the energy.","author":[{"dropping-particle":"","family":"Chen","given":"Dengyu","non-dropping-particle":"","parse-names":false,"suffix":""},{"dropping-particle":"","family":"Gao","given":"Anjiang","non-dropping-particle":"","parse-names":false,"suffix":""},{"dropping-particle":"","family":"Cen","given":"Kehui","non-dropping-particle":"","parse-names":false,"suffix":""},{"dropping-particle":"","family":"Zhang","given":"Jie","non-dropping-particle":"","parse-names":false,"suffix":""},{"dropping-particle":"","family":"Cao","given":"Xiaobing","non-dropping-particle":"","parse-names":false,"suffix":""},{"dropping-particle":"","family":"Ma","given":"Zhongqing","non-dropping-particle":"","parse-names":false,"suffix":""}],"container-title":"Energy Conversion and Management","id":"ITEM-1","issue":"February","issued":{"date-parts":[["2018"]]},"page":"228-237","publisher":"Elsevier","title":"Investigation of biomass torrefaction based on three major components: Hemicellulose, cellulose, and lignin","type":"article-journal","volume":"169"},"uris":["http://www.mendeley.com/documents/?uuid=f6f14aaa-0b14-44be-a2bf-1425a9be3178"]}],"mendeley":{"formattedCitation":"[9]","plainTextFormattedCitation":"[9]","previouslyFormattedCitation":"[9]"},"properties":{"noteIndex":0},"schema":"https://github.com/citation-style-language/schema/raw/master/csl-citation.json"}</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[9]</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w:t>
      </w:r>
    </w:p>
    <w:p>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Enhancement factor was defined as follows </w:t>
      </w:r>
      <w:r>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{"citationItems":[{"id":"ITEM-1","itemData":{"DOI":"10.1016/j.apenergy.2018.03.129","ISSN":"03062619","abstract":"Weight loss has been suggested as an important indicator of torrefaction severity for describing the performance of this thermal pretreatment process. The present study establishes a correlation of torrefaction performance, severity, and energy usage for the applications of this pretreatment for solid fuel (biochar) production. Three different biomass wastes, namely, spent coffee grounds, Chinese medicine residue, and microalga residue, have been torrefied in nitrogen at a temperature range of 200–300 °C for 15–60 min to produce biochars. Their properties such as the enhancement factor of higher heating value, energy yield, decarbonization, dehydrogenation, deoxygenation, and atomic O/C and H/C ratios have been investigated. The obtained results indicate that the introduced dimensionless parameter (the torrefaction severity index in terms of the weight loss of biomass) correlates sufficiently with the biochar properties; the exception is the O/C ratio as a consequence of the intrinsic difference in components between the utilized wastes. A new parameter (the upgrading energy index) was also defined to account for the energy efficiency of the torrefaction system. This index follows a decreasing trend with increasing torrefaction severity index. This shows that biochar quality or heating value is intensified at a higher torrefaction severity; however, the energy efficiency is lowered.","author":[{"dropping-particle":"","family":"Zhang","given":"Congyu","non-dropping-particle":"","parse-names":false,"suffix":""},{"dropping-particle":"","family":"Ho","given":"Shih Hsin","non-dropping-particle":"","parse-names":false,"suffix":""},{"dropping-particle":"","family":"Chen","given":"Wei Hsin","non-dropping-particle":"","parse-names":false,"suffix":""},{"dropping-particle":"","family":"Xie","given":"Youping","non-dropping-particle":"","parse-names":false,"suffix":""},{"dropping-particle":"","family":"Liu","given":"Zhenquan","non-dropping-particle":"","parse-names":false,"suffix":""},{"dropping-particle":"","family":"Chang","given":"Jo Shu","non-dropping-particle":"","parse-names":false,"suffix":""}],"container-title":"Applied Energy","id":"ITEM-1","issued":{"date-parts":[["2018"]]},"page":"598-604","publisher":"Elsevier","title":"Torrefaction performance and energy usage of biomass wastes and their correlations with torrefaction severity index","type":"article-journal","volume":"220"},"uris":["http://www.mendeley.com/documents/?uuid=f5bd5791-677d-44c1-973a-d04534eed368"]}],"mendeley":{"formattedCitation":"[10]","plainTextFormattedCitation":"[10]","previouslyFormattedCitation":"[10]"},"properties":{"noteIndex":0},"schema":"https://github.com/citation-style-language/schema/raw/master/csl-citation.json"}</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[10]</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w:t>
      </w:r>
    </w:p>
    <w:p>
      <w:pPr>
        <w:tabs>
          <w:tab w:val="right" w:pos="9026"/>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Enhancement factor = </w:t>
      </w:r>
      <w:proofErr w:type="spellStart"/>
      <w:r>
        <w:rPr>
          <w:rFonts w:ascii="Times New Roman" w:hAnsi="Times New Roman" w:cs="Times New Roman"/>
          <w:sz w:val="24"/>
          <w:szCs w:val="24"/>
          <w:lang w:val="en-GB"/>
        </w:rPr>
        <w:t>HHV</w:t>
      </w:r>
      <w:r>
        <w:rPr>
          <w:rFonts w:ascii="Times New Roman" w:hAnsi="Times New Roman" w:cs="Times New Roman"/>
          <w:sz w:val="24"/>
          <w:szCs w:val="24"/>
          <w:vertAlign w:val="subscript"/>
          <w:lang w:val="en-GB"/>
        </w:rPr>
        <w:t>product</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HHV</w:t>
      </w:r>
      <w:r>
        <w:rPr>
          <w:rFonts w:ascii="Times New Roman" w:hAnsi="Times New Roman" w:cs="Times New Roman"/>
          <w:sz w:val="24"/>
          <w:szCs w:val="24"/>
          <w:vertAlign w:val="subscript"/>
          <w:lang w:val="en-GB"/>
        </w:rPr>
        <w:t>feedstock</w:t>
      </w:r>
      <w:proofErr w:type="spellEnd"/>
      <w:r>
        <w:rPr>
          <w:rFonts w:ascii="Times New Roman" w:hAnsi="Times New Roman" w:cs="Times New Roman"/>
          <w:sz w:val="24"/>
          <w:szCs w:val="24"/>
          <w:vertAlign w:val="subscript"/>
          <w:lang w:val="en-GB"/>
        </w:rPr>
        <w:tab/>
      </w:r>
      <w:r>
        <w:rPr>
          <w:rFonts w:ascii="Times New Roman" w:hAnsi="Times New Roman" w:cs="Times New Roman"/>
          <w:sz w:val="24"/>
          <w:szCs w:val="24"/>
          <w:lang w:val="en-GB"/>
        </w:rPr>
        <w:t>(8)</w:t>
      </w:r>
    </w:p>
    <w:p>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Carbon yield (Y</w:t>
      </w:r>
      <w:r>
        <w:rPr>
          <w:rFonts w:ascii="Times New Roman" w:hAnsi="Times New Roman" w:cs="Times New Roman"/>
          <w:sz w:val="24"/>
          <w:szCs w:val="24"/>
          <w:vertAlign w:val="subscript"/>
          <w:lang w:val="en-GB"/>
        </w:rPr>
        <w:t>C</w:t>
      </w:r>
      <w:r>
        <w:rPr>
          <w:rFonts w:ascii="Times New Roman" w:hAnsi="Times New Roman" w:cs="Times New Roman"/>
          <w:sz w:val="24"/>
          <w:szCs w:val="24"/>
          <w:lang w:val="en-GB"/>
        </w:rPr>
        <w:t>) and hydrogen yield (Y</w:t>
      </w:r>
      <w:r>
        <w:rPr>
          <w:rFonts w:ascii="Times New Roman" w:hAnsi="Times New Roman" w:cs="Times New Roman"/>
          <w:sz w:val="24"/>
          <w:szCs w:val="24"/>
          <w:vertAlign w:val="subscript"/>
          <w:lang w:val="en-GB"/>
        </w:rPr>
        <w:t>H</w:t>
      </w:r>
      <w:r>
        <w:rPr>
          <w:rFonts w:ascii="Times New Roman" w:hAnsi="Times New Roman" w:cs="Times New Roman"/>
          <w:sz w:val="24"/>
          <w:szCs w:val="24"/>
          <w:lang w:val="en-GB"/>
        </w:rPr>
        <w:t xml:space="preserve">) were calculated as follow </w:t>
      </w:r>
      <w:r>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{"citationItems":[{"id":"ITEM-1","itemData":{"DOI":"10.1016/j.biortech.2018.02.114","ISSN":"18732976","PMID":"29524691","abstract":"Wet torrefaction (WT) possesses some advantages over dry torrefaction (DT). In this study, a comparative analysis of torrefied corn stalk from WT and DT was conducted along with an investigation of their pyrolysis properties under optimal conditions for biomass pyrolysis polygeneration. Compared with DT, WT removed 98% of the ash and retained twice the amount of hydrogen. The impacts of DT and WT on the biomass macromolecular structure was also found to be different using two-dimensional perturbation correlation infrared spectroscopy (2D-PCIS). WT preserved the active hydroxyl groups and rearranged the macromolecule structure to allow cellulose to be more ordered, while DT removed these active hydroxyl groups and formed inter-crosslinking structures in macromolecules. Correspondingly, the bio-char yield after WT was lower than DT but the bio-char quality was upgraded due to high ash removal. Furthermore, higher bio-oil yield, higher sugar content, and higher H2 generation, were obtained after WT.","author":[{"dropping-particle":"","family":"Wang","given":"Xianhua","non-dropping-particle":"","parse-names":false,"suffix":""},{"dropping-particle":"","family":"Wu","given":"Jing","non-dropping-particle":"","parse-names":false,"suffix":""},{"dropping-particle":"","family":"Chen","given":"Yingquan","non-dropping-particle":"","parse-names":false,"suffix":""},{"dropping-particle":"","family":"Pattiya","given":"Adisak","non-dropping-particle":"","parse-names":false,"suffix":""},{"dropping-particle":"","family":"Yang","given":"Haiping","non-dropping-particle":"","parse-names":false,"suffix":""},{"dropping-particle":"","family":"Chen","given":"Hanping","non-dropping-particle":"","parse-names":false,"suffix":""}],"container-title":"Bioresource Technology","id":"ITEM-1","issued":{"date-parts":[["2018"]]},"page":"88-97","publisher":"Elsevier","title":"Comparative study of wet and dry torrefaction of corn stalk and the effect on biomass pyrolysis polygeneration","type":"article-journal","volume":"258"},"uris":["http://www.mendeley.com/documents/?uuid=783fe98d-18f8-481c-b3ad-c05117d091fc"]}],"mendeley":{"formattedCitation":"[11]","plainTextFormattedCitation":"[11]","previouslyFormattedCitation":"[11]"},"properties":{"noteIndex":0},"schema":"https://github.com/citation-style-language/schema/raw/master/csl-citation.json"}</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[11]</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w:t>
      </w:r>
    </w:p>
    <w:p>
      <w:pPr>
        <w:tabs>
          <w:tab w:val="right" w:pos="9026"/>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Y</w:t>
      </w:r>
      <w:r>
        <w:rPr>
          <w:rFonts w:ascii="Times New Roman" w:hAnsi="Times New Roman" w:cs="Times New Roman"/>
          <w:sz w:val="24"/>
          <w:szCs w:val="24"/>
          <w:vertAlign w:val="subscript"/>
          <w:lang w:val="en-GB"/>
        </w:rPr>
        <w:t>C</w:t>
      </w:r>
      <w:r>
        <w:rPr>
          <w:rFonts w:ascii="Times New Roman" w:hAnsi="Times New Roman" w:cs="Times New Roman"/>
          <w:sz w:val="24"/>
          <w:szCs w:val="24"/>
          <w:lang w:val="en-GB"/>
        </w:rPr>
        <w:t xml:space="preserve"> (%) = </w:t>
      </w:r>
      <w:proofErr w:type="spellStart"/>
      <w:r>
        <w:rPr>
          <w:rFonts w:ascii="Times New Roman" w:hAnsi="Times New Roman" w:cs="Times New Roman"/>
          <w:sz w:val="24"/>
          <w:szCs w:val="24"/>
          <w:lang w:val="en-GB"/>
        </w:rPr>
        <w:t>Y</w:t>
      </w:r>
      <w:r>
        <w:rPr>
          <w:rFonts w:ascii="Times New Roman" w:hAnsi="Times New Roman" w:cs="Times New Roman"/>
          <w:sz w:val="24"/>
          <w:szCs w:val="24"/>
          <w:vertAlign w:val="subscript"/>
          <w:lang w:val="en-GB"/>
        </w:rPr>
        <w:t>solid</w:t>
      </w:r>
      <w:proofErr w:type="spellEnd"/>
      <w:r>
        <w:rPr>
          <w:rFonts w:ascii="Times New Roman" w:hAnsi="Times New Roman" w:cs="Times New Roman"/>
          <w:sz w:val="24"/>
          <w:szCs w:val="24"/>
          <w:lang w:val="en-GB"/>
        </w:rPr>
        <w:t xml:space="preserve"> (%) × (</w:t>
      </w:r>
      <w:proofErr w:type="spellStart"/>
      <w:r>
        <w:rPr>
          <w:rFonts w:ascii="Times New Roman" w:hAnsi="Times New Roman" w:cs="Times New Roman"/>
          <w:sz w:val="24"/>
          <w:szCs w:val="24"/>
          <w:lang w:val="en-GB"/>
        </w:rPr>
        <w:t>C</w:t>
      </w:r>
      <w:r>
        <w:rPr>
          <w:rFonts w:ascii="Times New Roman" w:hAnsi="Times New Roman" w:cs="Times New Roman"/>
          <w:sz w:val="24"/>
          <w:szCs w:val="24"/>
          <w:vertAlign w:val="subscript"/>
          <w:lang w:val="en-GB"/>
        </w:rPr>
        <w:t>product</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C</w:t>
      </w:r>
      <w:r>
        <w:rPr>
          <w:rFonts w:ascii="Times New Roman" w:hAnsi="Times New Roman" w:cs="Times New Roman"/>
          <w:sz w:val="24"/>
          <w:szCs w:val="24"/>
          <w:vertAlign w:val="subscript"/>
          <w:lang w:val="en-GB"/>
        </w:rPr>
        <w:t>feedstock</w:t>
      </w:r>
      <w:proofErr w:type="spellEnd"/>
      <w:r>
        <w:rPr>
          <w:rFonts w:ascii="Times New Roman" w:hAnsi="Times New Roman" w:cs="Times New Roman"/>
          <w:sz w:val="24"/>
          <w:szCs w:val="24"/>
          <w:lang w:val="en-GB"/>
        </w:rPr>
        <w:t>)</w:t>
      </w:r>
      <w:r>
        <w:rPr>
          <w:rFonts w:ascii="Times New Roman" w:hAnsi="Times New Roman" w:cs="Times New Roman"/>
          <w:sz w:val="24"/>
          <w:szCs w:val="24"/>
          <w:lang w:val="en-GB"/>
        </w:rPr>
        <w:tab/>
        <w:t>(9)</w:t>
      </w:r>
    </w:p>
    <w:p>
      <w:pPr>
        <w:tabs>
          <w:tab w:val="right" w:pos="9026"/>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Y</w:t>
      </w:r>
      <w:r>
        <w:rPr>
          <w:rFonts w:ascii="Times New Roman" w:hAnsi="Times New Roman" w:cs="Times New Roman"/>
          <w:sz w:val="24"/>
          <w:szCs w:val="24"/>
          <w:vertAlign w:val="subscript"/>
          <w:lang w:val="en-GB"/>
        </w:rPr>
        <w:t>H</w:t>
      </w:r>
      <w:r>
        <w:rPr>
          <w:rFonts w:ascii="Times New Roman" w:hAnsi="Times New Roman" w:cs="Times New Roman"/>
          <w:sz w:val="24"/>
          <w:szCs w:val="24"/>
          <w:lang w:val="en-GB"/>
        </w:rPr>
        <w:t xml:space="preserve"> (%) = </w:t>
      </w:r>
      <w:proofErr w:type="spellStart"/>
      <w:r>
        <w:rPr>
          <w:rFonts w:ascii="Times New Roman" w:hAnsi="Times New Roman" w:cs="Times New Roman"/>
          <w:sz w:val="24"/>
          <w:szCs w:val="24"/>
          <w:lang w:val="en-GB"/>
        </w:rPr>
        <w:t>Y</w:t>
      </w:r>
      <w:r>
        <w:rPr>
          <w:rFonts w:ascii="Times New Roman" w:hAnsi="Times New Roman" w:cs="Times New Roman"/>
          <w:sz w:val="24"/>
          <w:szCs w:val="24"/>
          <w:vertAlign w:val="subscript"/>
          <w:lang w:val="en-GB"/>
        </w:rPr>
        <w:t>solid</w:t>
      </w:r>
      <w:proofErr w:type="spellEnd"/>
      <w:r>
        <w:rPr>
          <w:rFonts w:ascii="Times New Roman" w:hAnsi="Times New Roman" w:cs="Times New Roman"/>
          <w:sz w:val="24"/>
          <w:szCs w:val="24"/>
          <w:lang w:val="en-GB"/>
        </w:rPr>
        <w:t xml:space="preserve"> (%) × (</w:t>
      </w:r>
      <w:proofErr w:type="spellStart"/>
      <w:r>
        <w:rPr>
          <w:rFonts w:ascii="Times New Roman" w:hAnsi="Times New Roman" w:cs="Times New Roman"/>
          <w:sz w:val="24"/>
          <w:szCs w:val="24"/>
          <w:lang w:val="en-GB"/>
        </w:rPr>
        <w:t>H</w:t>
      </w:r>
      <w:r>
        <w:rPr>
          <w:rFonts w:ascii="Times New Roman" w:hAnsi="Times New Roman" w:cs="Times New Roman"/>
          <w:sz w:val="24"/>
          <w:szCs w:val="24"/>
          <w:vertAlign w:val="subscript"/>
          <w:lang w:val="en-GB"/>
        </w:rPr>
        <w:t>product</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H</w:t>
      </w:r>
      <w:r>
        <w:rPr>
          <w:rFonts w:ascii="Times New Roman" w:hAnsi="Times New Roman" w:cs="Times New Roman"/>
          <w:sz w:val="24"/>
          <w:szCs w:val="24"/>
          <w:vertAlign w:val="subscript"/>
          <w:lang w:val="en-GB"/>
        </w:rPr>
        <w:t>feedstock</w:t>
      </w:r>
      <w:proofErr w:type="spellEnd"/>
      <w:r>
        <w:rPr>
          <w:rFonts w:ascii="Times New Roman" w:hAnsi="Times New Roman" w:cs="Times New Roman"/>
          <w:sz w:val="24"/>
          <w:szCs w:val="24"/>
          <w:lang w:val="en-GB"/>
        </w:rPr>
        <w:t>)</w:t>
      </w:r>
      <w:r>
        <w:rPr>
          <w:rFonts w:ascii="Times New Roman" w:hAnsi="Times New Roman" w:cs="Times New Roman"/>
          <w:sz w:val="24"/>
          <w:szCs w:val="24"/>
          <w:lang w:val="en-GB"/>
        </w:rPr>
        <w:tab/>
        <w:t>(10)</w:t>
      </w:r>
    </w:p>
    <w:p>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where </w:t>
      </w:r>
      <w:proofErr w:type="spellStart"/>
      <w:r>
        <w:rPr>
          <w:rFonts w:ascii="Times New Roman" w:hAnsi="Times New Roman" w:cs="Times New Roman"/>
          <w:sz w:val="24"/>
          <w:szCs w:val="24"/>
          <w:lang w:val="en-GB"/>
        </w:rPr>
        <w:t>C</w:t>
      </w:r>
      <w:r>
        <w:rPr>
          <w:rFonts w:ascii="Times New Roman" w:hAnsi="Times New Roman" w:cs="Times New Roman"/>
          <w:sz w:val="24"/>
          <w:szCs w:val="24"/>
          <w:vertAlign w:val="subscript"/>
          <w:lang w:val="en-GB"/>
        </w:rPr>
        <w:t>product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w:t>
      </w:r>
      <w:r>
        <w:rPr>
          <w:rFonts w:ascii="Times New Roman" w:hAnsi="Times New Roman" w:cs="Times New Roman"/>
          <w:sz w:val="24"/>
          <w:szCs w:val="24"/>
          <w:vertAlign w:val="subscript"/>
          <w:lang w:val="en-GB"/>
        </w:rPr>
        <w:t>product</w:t>
      </w:r>
      <w:proofErr w:type="spellEnd"/>
      <w:r>
        <w:rPr>
          <w:rFonts w:ascii="Times New Roman" w:hAnsi="Times New Roman" w:cs="Times New Roman"/>
          <w:sz w:val="24"/>
          <w:szCs w:val="24"/>
          <w:lang w:val="en-GB"/>
        </w:rPr>
        <w:t xml:space="preserve"> and </w:t>
      </w:r>
      <w:proofErr w:type="spellStart"/>
      <w:r>
        <w:rPr>
          <w:rFonts w:ascii="Times New Roman" w:hAnsi="Times New Roman" w:cs="Times New Roman"/>
          <w:sz w:val="24"/>
          <w:szCs w:val="24"/>
          <w:lang w:val="en-GB"/>
        </w:rPr>
        <w:t>C</w:t>
      </w:r>
      <w:r>
        <w:rPr>
          <w:rFonts w:ascii="Times New Roman" w:hAnsi="Times New Roman" w:cs="Times New Roman"/>
          <w:sz w:val="24"/>
          <w:szCs w:val="24"/>
          <w:vertAlign w:val="subscript"/>
          <w:lang w:val="en-GB"/>
        </w:rPr>
        <w:t>feedstock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w:t>
      </w:r>
      <w:r>
        <w:rPr>
          <w:rFonts w:ascii="Times New Roman" w:hAnsi="Times New Roman" w:cs="Times New Roman"/>
          <w:sz w:val="24"/>
          <w:szCs w:val="24"/>
          <w:vertAlign w:val="subscript"/>
          <w:lang w:val="en-GB"/>
        </w:rPr>
        <w:t>feedstock</w:t>
      </w:r>
      <w:proofErr w:type="spellEnd"/>
      <w:r>
        <w:rPr>
          <w:rFonts w:ascii="Times New Roman" w:hAnsi="Times New Roman" w:cs="Times New Roman"/>
          <w:sz w:val="24"/>
          <w:szCs w:val="24"/>
          <w:lang w:val="en-GB"/>
        </w:rPr>
        <w:t xml:space="preserve"> are the dry ash free carbon and hydrogen content of the WT and raw samples, respectively.</w:t>
      </w:r>
    </w:p>
    <w:p>
      <w:pPr>
        <w:spacing w:after="0" w:line="48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Decarbonization (DC), dehydrogenation (DH), and deoxygenation (DO) or oxygen removal efficiency (ORE) are three measures used to quantify the mass losses of carbon, hydrogen, and oxygen in biomass during torrefaction </w:t>
      </w:r>
      <w:r>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{"citationItems":[{"id":"ITEM-1","itemData":{"DOI":"10.1016/j.apenergy.2018.03.129","ISSN":"03062619","abstract":"Weight loss has been suggested as an important indicator of torrefaction severity for describing the performance of this thermal pretreatment process. The present study establishes a correlation of torrefaction performance, severity, and energy usage for the applications of this pretreatment for solid fuel (biochar) production. Three different biomass wastes, namely, spent coffee grounds, Chinese medicine residue, and microalga residue, have been torrefied in nitrogen at a temperature range of 200–300 °C for 15–60 min to produce biochars. Their properties such as the enhancement factor of higher heating value, energy yield, decarbonization, dehydrogenation, deoxygenation, and atomic O/C and H/C ratios have been investigated. The obtained results indicate that the introduced dimensionless parameter (the torrefaction severity index in terms of the weight loss of biomass) correlates sufficiently with the biochar properties; the exception is the O/C ratio as a consequence of the intrinsic difference in components between the utilized wastes. A new parameter (the upgrading energy index) was also defined to account for the energy efficiency of the torrefaction system. This index follows a decreasing trend with increasing torrefaction severity index. This shows that biochar quality or heating value is intensified at a higher torrefaction severity; however, the energy efficiency is lowered.","author":[{"dropping-particle":"","family":"Zhang","given":"Congyu","non-dropping-particle":"","parse-names":false,"suffix":""},{"dropping-particle":"","family":"Ho","given":"Shih Hsin","non-dropping-particle":"","parse-names":false,"suffix":""},{"dropping-particle":"","family":"Chen","given":"Wei Hsin","non-dropping-particle":"","parse-names":false,"suffix":""},{"dropping-particle":"","family":"Xie","given":"Youping","non-dropping-particle":"","parse-names":false,"suffix":""},{"dropping-particle":"","family":"Liu","given":"Zhenquan","non-dropping-particle":"","parse-names":false,"suffix":""},{"dropping-particle":"","family":"Chang","given":"Jo Shu","non-dropping-particle":"","parse-names":false,"suffix":""}],"container-title":"Applied Energy","id":"ITEM-1","issued":{"date-parts":[["2018"]]},"page":"598-604","publisher":"Elsevier","title":"Torrefaction performance and energy usage of biomass wastes and their correlations with torrefaction severity index","type":"article-journal","volume":"220"},"uris":["http://www.mendeley.com/documents/?uuid=f5bd5791-677d-44c1-973a-d04534eed368"]}],"mendeley":{"formattedCitation":"[10]","plainTextFormattedCitation":"[10]","previouslyFormattedCitation":"[10]"},"properties":{"noteIndex":0},"schema":"https://github.com/citation-style-language/schema/raw/master/csl-citation.json"}</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[10]</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DC represents the percentage of carbon loss in the biomass due to WT and can be determined using the following formula:</w:t>
      </w:r>
    </w:p>
    <w:p>
      <w:pPr>
        <w:tabs>
          <w:tab w:val="right" w:pos="9026"/>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DC (%) = 100‒Y</w:t>
      </w:r>
      <w:r>
        <w:rPr>
          <w:rFonts w:ascii="Times New Roman" w:hAnsi="Times New Roman" w:cs="Times New Roman"/>
          <w:sz w:val="24"/>
          <w:szCs w:val="24"/>
          <w:vertAlign w:val="subscript"/>
          <w:lang w:val="en-GB"/>
        </w:rPr>
        <w:t>solid</w:t>
      </w:r>
      <w:r>
        <w:rPr>
          <w:rFonts w:ascii="Times New Roman" w:hAnsi="Times New Roman" w:cs="Times New Roman"/>
          <w:sz w:val="24"/>
          <w:szCs w:val="24"/>
          <w:lang w:val="en-GB"/>
        </w:rPr>
        <w:t xml:space="preserve"> (%) × (</w:t>
      </w:r>
      <w:bookmarkStart w:id="2" w:name="_Hlk148307587"/>
      <w:proofErr w:type="spellStart"/>
      <w:r>
        <w:rPr>
          <w:rFonts w:ascii="Times New Roman" w:hAnsi="Times New Roman" w:cs="Times New Roman"/>
          <w:sz w:val="24"/>
          <w:szCs w:val="24"/>
          <w:lang w:val="en-GB"/>
        </w:rPr>
        <w:t>C</w:t>
      </w:r>
      <w:r>
        <w:rPr>
          <w:rFonts w:ascii="Times New Roman" w:hAnsi="Times New Roman" w:cs="Times New Roman"/>
          <w:sz w:val="24"/>
          <w:szCs w:val="24"/>
          <w:vertAlign w:val="subscript"/>
          <w:lang w:val="en-GB"/>
        </w:rPr>
        <w:t>product</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C</w:t>
      </w:r>
      <w:r>
        <w:rPr>
          <w:rFonts w:ascii="Times New Roman" w:hAnsi="Times New Roman" w:cs="Times New Roman"/>
          <w:sz w:val="24"/>
          <w:szCs w:val="24"/>
          <w:vertAlign w:val="subscript"/>
          <w:lang w:val="en-GB"/>
        </w:rPr>
        <w:t>feedstock</w:t>
      </w:r>
      <w:bookmarkEnd w:id="2"/>
      <w:proofErr w:type="spellEnd"/>
      <w:r>
        <w:rPr>
          <w:rFonts w:ascii="Times New Roman" w:hAnsi="Times New Roman" w:cs="Times New Roman"/>
          <w:sz w:val="24"/>
          <w:szCs w:val="24"/>
          <w:lang w:val="en-GB"/>
        </w:rPr>
        <w:t>)</w:t>
      </w:r>
      <w:r>
        <w:rPr>
          <w:rFonts w:ascii="Times New Roman" w:hAnsi="Times New Roman" w:cs="Times New Roman"/>
          <w:sz w:val="24"/>
          <w:szCs w:val="24"/>
          <w:lang w:val="en-GB"/>
        </w:rPr>
        <w:tab/>
        <w:t>(11)</w:t>
      </w:r>
    </w:p>
    <w:p>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DH and DO can be similarly calculated using the same procedure as DC.</w:t>
      </w:r>
    </w:p>
    <w:p>
      <w:pPr>
        <w:tabs>
          <w:tab w:val="right" w:pos="9026"/>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DH (%) = 100‒Y</w:t>
      </w:r>
      <w:r>
        <w:rPr>
          <w:rFonts w:ascii="Times New Roman" w:hAnsi="Times New Roman" w:cs="Times New Roman"/>
          <w:sz w:val="24"/>
          <w:szCs w:val="24"/>
          <w:vertAlign w:val="subscript"/>
          <w:lang w:val="en-GB"/>
        </w:rPr>
        <w:t>solid</w:t>
      </w:r>
      <w:r>
        <w:rPr>
          <w:rFonts w:ascii="Times New Roman" w:hAnsi="Times New Roman" w:cs="Times New Roman"/>
          <w:sz w:val="24"/>
          <w:szCs w:val="24"/>
          <w:lang w:val="en-GB"/>
        </w:rPr>
        <w:t xml:space="preserve"> (%) × (</w:t>
      </w:r>
      <w:proofErr w:type="spellStart"/>
      <w:r>
        <w:rPr>
          <w:rFonts w:ascii="Times New Roman" w:hAnsi="Times New Roman" w:cs="Times New Roman"/>
          <w:sz w:val="24"/>
          <w:szCs w:val="24"/>
          <w:lang w:val="en-GB"/>
        </w:rPr>
        <w:t>H</w:t>
      </w:r>
      <w:r>
        <w:rPr>
          <w:rFonts w:ascii="Times New Roman" w:hAnsi="Times New Roman" w:cs="Times New Roman"/>
          <w:sz w:val="24"/>
          <w:szCs w:val="24"/>
          <w:vertAlign w:val="subscript"/>
          <w:lang w:val="en-GB"/>
        </w:rPr>
        <w:t>product</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H</w:t>
      </w:r>
      <w:r>
        <w:rPr>
          <w:rFonts w:ascii="Times New Roman" w:hAnsi="Times New Roman" w:cs="Times New Roman"/>
          <w:sz w:val="24"/>
          <w:szCs w:val="24"/>
          <w:vertAlign w:val="subscript"/>
          <w:lang w:val="en-GB"/>
        </w:rPr>
        <w:t>feedstock</w:t>
      </w:r>
      <w:proofErr w:type="spellEnd"/>
      <w:r>
        <w:rPr>
          <w:rFonts w:ascii="Times New Roman" w:hAnsi="Times New Roman" w:cs="Times New Roman"/>
          <w:sz w:val="24"/>
          <w:szCs w:val="24"/>
          <w:lang w:val="en-GB"/>
        </w:rPr>
        <w:t>)</w:t>
      </w:r>
      <w:r>
        <w:rPr>
          <w:rFonts w:ascii="Times New Roman" w:hAnsi="Times New Roman" w:cs="Times New Roman"/>
          <w:sz w:val="24"/>
          <w:szCs w:val="24"/>
          <w:lang w:val="en-GB"/>
        </w:rPr>
        <w:tab/>
        <w:t>(12)</w:t>
      </w:r>
    </w:p>
    <w:p>
      <w:pPr>
        <w:tabs>
          <w:tab w:val="right" w:pos="9026"/>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DO (%) = 100‒Y</w:t>
      </w:r>
      <w:r>
        <w:rPr>
          <w:rFonts w:ascii="Times New Roman" w:hAnsi="Times New Roman" w:cs="Times New Roman"/>
          <w:sz w:val="24"/>
          <w:szCs w:val="24"/>
          <w:vertAlign w:val="subscript"/>
          <w:lang w:val="en-GB"/>
        </w:rPr>
        <w:t>solid</w:t>
      </w:r>
      <w:r>
        <w:rPr>
          <w:rFonts w:ascii="Times New Roman" w:hAnsi="Times New Roman" w:cs="Times New Roman"/>
          <w:sz w:val="24"/>
          <w:szCs w:val="24"/>
          <w:lang w:val="en-GB"/>
        </w:rPr>
        <w:t xml:space="preserve"> (%) × (</w:t>
      </w:r>
      <w:proofErr w:type="spellStart"/>
      <w:r>
        <w:rPr>
          <w:rFonts w:ascii="Times New Roman" w:hAnsi="Times New Roman" w:cs="Times New Roman"/>
          <w:sz w:val="24"/>
          <w:szCs w:val="24"/>
          <w:lang w:val="en-GB"/>
        </w:rPr>
        <w:t>O</w:t>
      </w:r>
      <w:r>
        <w:rPr>
          <w:rFonts w:ascii="Times New Roman" w:hAnsi="Times New Roman" w:cs="Times New Roman"/>
          <w:sz w:val="24"/>
          <w:szCs w:val="24"/>
          <w:vertAlign w:val="subscript"/>
          <w:lang w:val="en-GB"/>
        </w:rPr>
        <w:t>product</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O</w:t>
      </w:r>
      <w:r>
        <w:rPr>
          <w:rFonts w:ascii="Times New Roman" w:hAnsi="Times New Roman" w:cs="Times New Roman"/>
          <w:sz w:val="24"/>
          <w:szCs w:val="24"/>
          <w:vertAlign w:val="subscript"/>
          <w:lang w:val="en-GB"/>
        </w:rPr>
        <w:t>feedstock</w:t>
      </w:r>
      <w:proofErr w:type="spellEnd"/>
      <w:r>
        <w:rPr>
          <w:rFonts w:ascii="Times New Roman" w:hAnsi="Times New Roman" w:cs="Times New Roman"/>
          <w:sz w:val="24"/>
          <w:szCs w:val="24"/>
          <w:lang w:val="en-GB"/>
        </w:rPr>
        <w:t>)</w:t>
      </w:r>
      <w:r>
        <w:rPr>
          <w:rFonts w:ascii="Times New Roman" w:hAnsi="Times New Roman" w:cs="Times New Roman"/>
          <w:sz w:val="24"/>
          <w:szCs w:val="24"/>
          <w:lang w:val="en-GB"/>
        </w:rPr>
        <w:tab/>
        <w:t>(13)</w:t>
      </w:r>
    </w:p>
    <w:p>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where </w:t>
      </w:r>
      <w:proofErr w:type="spellStart"/>
      <w:r>
        <w:rPr>
          <w:rFonts w:ascii="Times New Roman" w:hAnsi="Times New Roman" w:cs="Times New Roman"/>
          <w:sz w:val="24"/>
          <w:szCs w:val="24"/>
          <w:lang w:val="en-GB"/>
        </w:rPr>
        <w:t>O</w:t>
      </w:r>
      <w:r>
        <w:rPr>
          <w:rFonts w:ascii="Times New Roman" w:hAnsi="Times New Roman" w:cs="Times New Roman"/>
          <w:sz w:val="24"/>
          <w:szCs w:val="24"/>
          <w:vertAlign w:val="subscript"/>
          <w:lang w:val="en-GB"/>
        </w:rPr>
        <w:t>product</w:t>
      </w:r>
      <w:proofErr w:type="spellEnd"/>
      <w:r>
        <w:rPr>
          <w:rFonts w:ascii="Times New Roman" w:hAnsi="Times New Roman" w:cs="Times New Roman"/>
          <w:sz w:val="24"/>
          <w:szCs w:val="24"/>
          <w:lang w:val="en-GB"/>
        </w:rPr>
        <w:t xml:space="preserve"> and </w:t>
      </w:r>
      <w:proofErr w:type="spellStart"/>
      <w:r>
        <w:rPr>
          <w:rFonts w:ascii="Times New Roman" w:hAnsi="Times New Roman" w:cs="Times New Roman"/>
          <w:sz w:val="24"/>
          <w:szCs w:val="24"/>
          <w:lang w:val="en-GB"/>
        </w:rPr>
        <w:t>O</w:t>
      </w:r>
      <w:r>
        <w:rPr>
          <w:rFonts w:ascii="Times New Roman" w:hAnsi="Times New Roman" w:cs="Times New Roman"/>
          <w:sz w:val="24"/>
          <w:szCs w:val="24"/>
          <w:vertAlign w:val="subscript"/>
          <w:lang w:val="en-GB"/>
        </w:rPr>
        <w:t>feedstock</w:t>
      </w:r>
      <w:proofErr w:type="spellEnd"/>
      <w:r>
        <w:rPr>
          <w:rFonts w:ascii="Times New Roman" w:hAnsi="Times New Roman" w:cs="Times New Roman"/>
          <w:sz w:val="24"/>
          <w:szCs w:val="24"/>
          <w:lang w:val="en-GB"/>
        </w:rPr>
        <w:t xml:space="preserve"> are the dry ash free oxygen content of the WT and raw samples, respectively.</w:t>
      </w:r>
    </w:p>
    <w:p>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Ash removal efficiency (ARE) was calculated as follow:</w:t>
      </w:r>
    </w:p>
    <w:p>
      <w:pPr>
        <w:tabs>
          <w:tab w:val="right" w:pos="9026"/>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ARE (%) = 100‒Y</w:t>
      </w:r>
      <w:r>
        <w:rPr>
          <w:rFonts w:ascii="Times New Roman" w:hAnsi="Times New Roman" w:cs="Times New Roman"/>
          <w:sz w:val="24"/>
          <w:szCs w:val="24"/>
          <w:vertAlign w:val="subscript"/>
          <w:lang w:val="en-GB"/>
        </w:rPr>
        <w:t>solid</w:t>
      </w:r>
      <w:r>
        <w:rPr>
          <w:rFonts w:ascii="Times New Roman" w:hAnsi="Times New Roman" w:cs="Times New Roman"/>
          <w:sz w:val="24"/>
          <w:szCs w:val="24"/>
          <w:lang w:val="en-GB"/>
        </w:rPr>
        <w:t xml:space="preserve"> (%) × (</w:t>
      </w:r>
      <w:proofErr w:type="spellStart"/>
      <w:r>
        <w:rPr>
          <w:rFonts w:ascii="Times New Roman" w:hAnsi="Times New Roman" w:cs="Times New Roman"/>
          <w:sz w:val="24"/>
          <w:szCs w:val="24"/>
          <w:lang w:val="en-GB"/>
        </w:rPr>
        <w:t>A</w:t>
      </w:r>
      <w:r>
        <w:rPr>
          <w:rFonts w:ascii="Times New Roman" w:hAnsi="Times New Roman" w:cs="Times New Roman"/>
          <w:sz w:val="24"/>
          <w:szCs w:val="24"/>
          <w:vertAlign w:val="subscript"/>
          <w:lang w:val="en-GB"/>
        </w:rPr>
        <w:t>product</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A</w:t>
      </w:r>
      <w:r>
        <w:rPr>
          <w:rFonts w:ascii="Times New Roman" w:hAnsi="Times New Roman" w:cs="Times New Roman"/>
          <w:sz w:val="24"/>
          <w:szCs w:val="24"/>
          <w:vertAlign w:val="subscript"/>
          <w:lang w:val="en-GB"/>
        </w:rPr>
        <w:t>feedstock</w:t>
      </w:r>
      <w:proofErr w:type="spellEnd"/>
      <w:r>
        <w:rPr>
          <w:rFonts w:ascii="Times New Roman" w:hAnsi="Times New Roman" w:cs="Times New Roman"/>
          <w:sz w:val="24"/>
          <w:szCs w:val="24"/>
          <w:lang w:val="en-GB"/>
        </w:rPr>
        <w:t>)</w:t>
      </w:r>
      <w:r>
        <w:rPr>
          <w:rFonts w:ascii="Times New Roman" w:hAnsi="Times New Roman" w:cs="Times New Roman"/>
          <w:sz w:val="24"/>
          <w:szCs w:val="24"/>
          <w:lang w:val="en-GB"/>
        </w:rPr>
        <w:tab/>
        <w:t>(14)</w:t>
      </w:r>
    </w:p>
    <w:p>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where </w:t>
      </w:r>
      <w:proofErr w:type="spellStart"/>
      <w:r>
        <w:rPr>
          <w:rFonts w:ascii="Times New Roman" w:hAnsi="Times New Roman" w:cs="Times New Roman"/>
          <w:sz w:val="24"/>
          <w:szCs w:val="24"/>
          <w:lang w:val="en-GB"/>
        </w:rPr>
        <w:t>A</w:t>
      </w:r>
      <w:r>
        <w:rPr>
          <w:rFonts w:ascii="Times New Roman" w:hAnsi="Times New Roman" w:cs="Times New Roman"/>
          <w:sz w:val="24"/>
          <w:szCs w:val="24"/>
          <w:vertAlign w:val="subscript"/>
          <w:lang w:val="en-GB"/>
        </w:rPr>
        <w:t>product</w:t>
      </w:r>
      <w:proofErr w:type="spellEnd"/>
      <w:r>
        <w:rPr>
          <w:rFonts w:ascii="Times New Roman" w:hAnsi="Times New Roman" w:cs="Times New Roman"/>
          <w:sz w:val="24"/>
          <w:szCs w:val="24"/>
          <w:lang w:val="en-GB"/>
        </w:rPr>
        <w:t xml:space="preserve"> and </w:t>
      </w:r>
      <w:proofErr w:type="spellStart"/>
      <w:r>
        <w:rPr>
          <w:rFonts w:ascii="Times New Roman" w:hAnsi="Times New Roman" w:cs="Times New Roman"/>
          <w:sz w:val="24"/>
          <w:szCs w:val="24"/>
          <w:lang w:val="en-GB"/>
        </w:rPr>
        <w:t>A</w:t>
      </w:r>
      <w:r>
        <w:rPr>
          <w:rFonts w:ascii="Times New Roman" w:hAnsi="Times New Roman" w:cs="Times New Roman"/>
          <w:sz w:val="24"/>
          <w:szCs w:val="24"/>
          <w:vertAlign w:val="subscript"/>
          <w:lang w:val="en-GB"/>
        </w:rPr>
        <w:t>feedstock</w:t>
      </w:r>
      <w:proofErr w:type="spellEnd"/>
      <w:r>
        <w:rPr>
          <w:rFonts w:ascii="Times New Roman" w:hAnsi="Times New Roman" w:cs="Times New Roman"/>
          <w:sz w:val="24"/>
          <w:szCs w:val="24"/>
          <w:lang w:val="en-GB"/>
        </w:rPr>
        <w:t xml:space="preserve"> are the dry ash content of the WT and raw samples, respectively.</w:t>
      </w:r>
    </w:p>
    <w:p>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 metric referred to as carbon enrichment (CE), used to assess the degree of carbonization in WT of WCPR, is defined as follows:</w:t>
      </w:r>
    </w:p>
    <w:p>
      <w:pPr>
        <w:tabs>
          <w:tab w:val="right" w:pos="9026"/>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CE = </w:t>
      </w:r>
      <w:proofErr w:type="spellStart"/>
      <w:r>
        <w:rPr>
          <w:rFonts w:ascii="Times New Roman" w:hAnsi="Times New Roman" w:cs="Times New Roman"/>
          <w:sz w:val="24"/>
          <w:szCs w:val="24"/>
          <w:lang w:val="en-GB"/>
        </w:rPr>
        <w:t>C</w:t>
      </w:r>
      <w:r>
        <w:rPr>
          <w:rFonts w:ascii="Times New Roman" w:hAnsi="Times New Roman" w:cs="Times New Roman"/>
          <w:sz w:val="24"/>
          <w:szCs w:val="24"/>
          <w:vertAlign w:val="subscript"/>
          <w:lang w:val="en-GB"/>
        </w:rPr>
        <w:t>product</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C</w:t>
      </w:r>
      <w:r>
        <w:rPr>
          <w:rFonts w:ascii="Times New Roman" w:hAnsi="Times New Roman" w:cs="Times New Roman"/>
          <w:sz w:val="24"/>
          <w:szCs w:val="24"/>
          <w:vertAlign w:val="subscript"/>
          <w:lang w:val="en-GB"/>
        </w:rPr>
        <w:t>feedstock</w:t>
      </w:r>
      <w:proofErr w:type="spellEnd"/>
      <w:r>
        <w:rPr>
          <w:rFonts w:ascii="Times New Roman" w:hAnsi="Times New Roman" w:cs="Times New Roman"/>
          <w:sz w:val="24"/>
          <w:szCs w:val="24"/>
          <w:vertAlign w:val="subscript"/>
          <w:lang w:val="en-GB"/>
        </w:rPr>
        <w:tab/>
      </w:r>
      <w:r>
        <w:rPr>
          <w:rFonts w:ascii="Times New Roman" w:hAnsi="Times New Roman" w:cs="Times New Roman"/>
          <w:sz w:val="24"/>
          <w:szCs w:val="24"/>
          <w:lang w:val="en-GB"/>
        </w:rPr>
        <w:t>(15)</w:t>
      </w:r>
    </w:p>
    <w:p>
      <w:pPr>
        <w:rPr>
          <w:rFonts w:ascii="Times New Roman" w:hAnsi="Times New Roman" w:cs="Times New Roman"/>
          <w:sz w:val="24"/>
          <w:szCs w:val="24"/>
          <w:lang w:val="en-GB"/>
        </w:rPr>
      </w:pPr>
      <w:r>
        <w:rPr>
          <w:rFonts w:ascii="Times New Roman" w:hAnsi="Times New Roman" w:cs="Times New Roman"/>
          <w:sz w:val="24"/>
          <w:szCs w:val="24"/>
          <w:lang w:val="en-GB"/>
        </w:rPr>
        <w:br w:type="page"/>
      </w:r>
    </w:p>
    <w:p>
      <w:pPr>
        <w:rPr>
          <w:rFonts w:ascii="Times New Roman" w:hAnsi="Times New Roman" w:cs="Times New Roman"/>
          <w:sz w:val="24"/>
          <w:szCs w:val="24"/>
          <w:lang w:val="en-GB"/>
        </w:rPr>
      </w:pPr>
    </w:p>
    <w:p>
      <w:pPr>
        <w:spacing w:after="0" w:line="480" w:lineRule="auto"/>
        <w:jc w:val="both"/>
        <w:rPr>
          <w:rFonts w:ascii="Times New Roman" w:hAnsi="Times New Roman" w:cs="Times New Roman"/>
          <w:b/>
          <w:bCs/>
          <w:iCs/>
          <w:sz w:val="24"/>
          <w:szCs w:val="24"/>
          <w:lang w:val="en-GB"/>
        </w:rPr>
      </w:pPr>
      <w:r>
        <w:rPr>
          <w:noProof/>
        </w:rPr>
        <w:drawing>
          <wp:inline distT="0" distB="0" distL="0" distR="0">
            <wp:extent cx="5943600" cy="4632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632325"/>
                    </a:xfrm>
                    <a:prstGeom prst="rect">
                      <a:avLst/>
                    </a:prstGeom>
                  </pic:spPr>
                </pic:pic>
              </a:graphicData>
            </a:graphic>
          </wp:inline>
        </w:drawing>
      </w:r>
    </w:p>
    <w:p>
      <w:pPr>
        <w:spacing w:after="0" w:line="480" w:lineRule="auto"/>
        <w:jc w:val="both"/>
        <w:rPr>
          <w:rFonts w:ascii="Times New Roman" w:hAnsi="Times New Roman" w:cs="Times New Roman"/>
          <w:iCs/>
          <w:sz w:val="24"/>
          <w:szCs w:val="24"/>
          <w:lang w:val="en-GB"/>
        </w:rPr>
      </w:pPr>
      <w:r>
        <w:rPr>
          <w:rFonts w:ascii="Times New Roman" w:hAnsi="Times New Roman" w:cs="Times New Roman"/>
          <w:b/>
          <w:bCs/>
          <w:iCs/>
          <w:sz w:val="24"/>
          <w:szCs w:val="24"/>
          <w:lang w:val="en-GB"/>
        </w:rPr>
        <w:t xml:space="preserve">Fig. S1. </w:t>
      </w:r>
      <w:r>
        <w:rPr>
          <w:rFonts w:ascii="Times New Roman" w:hAnsi="Times New Roman" w:cs="Times New Roman"/>
          <w:iCs/>
          <w:sz w:val="24"/>
          <w:szCs w:val="24"/>
          <w:lang w:val="en-GB"/>
        </w:rPr>
        <w:t>GC-MS spectra of the liquid product mixture after DT of WCPR at 270 °C for 15 min.</w:t>
      </w:r>
    </w:p>
    <w:p>
      <w:pPr>
        <w:spacing w:after="0" w:line="480" w:lineRule="auto"/>
        <w:jc w:val="both"/>
        <w:rPr>
          <w:rFonts w:ascii="Times New Roman" w:hAnsi="Times New Roman" w:cs="Times New Roman"/>
          <w:b/>
          <w:bCs/>
          <w:iCs/>
          <w:sz w:val="24"/>
          <w:szCs w:val="24"/>
          <w:lang w:val="en-GB"/>
        </w:rPr>
      </w:pPr>
    </w:p>
    <w:p>
      <w:pPr>
        <w:spacing w:after="0" w:line="480" w:lineRule="auto"/>
        <w:jc w:val="both"/>
        <w:rPr>
          <w:rFonts w:ascii="Times New Roman" w:hAnsi="Times New Roman" w:cs="Times New Roman"/>
          <w:b/>
          <w:bCs/>
          <w:iCs/>
          <w:sz w:val="24"/>
          <w:szCs w:val="24"/>
          <w:lang w:val="en-GB"/>
        </w:rPr>
      </w:pPr>
    </w:p>
    <w:p>
      <w:pPr>
        <w:spacing w:after="0" w:line="480" w:lineRule="auto"/>
        <w:jc w:val="both"/>
        <w:rPr>
          <w:rFonts w:ascii="Times New Roman" w:hAnsi="Times New Roman" w:cs="Times New Roman"/>
          <w:b/>
          <w:bCs/>
          <w:iCs/>
          <w:sz w:val="24"/>
          <w:szCs w:val="24"/>
          <w:lang w:val="en-GB"/>
        </w:rPr>
      </w:pPr>
    </w:p>
    <w:p>
      <w:pPr>
        <w:spacing w:after="0" w:line="480" w:lineRule="auto"/>
        <w:jc w:val="both"/>
        <w:rPr>
          <w:rFonts w:ascii="Times New Roman" w:hAnsi="Times New Roman" w:cs="Times New Roman"/>
          <w:b/>
          <w:bCs/>
          <w:iCs/>
          <w:sz w:val="24"/>
          <w:szCs w:val="24"/>
          <w:lang w:val="en-GB"/>
        </w:rPr>
      </w:pPr>
    </w:p>
    <w:p>
      <w:pPr>
        <w:spacing w:after="0" w:line="480" w:lineRule="auto"/>
        <w:jc w:val="both"/>
        <w:rPr>
          <w:rFonts w:ascii="Times New Roman" w:hAnsi="Times New Roman" w:cs="Times New Roman"/>
          <w:b/>
          <w:bCs/>
          <w:iCs/>
          <w:sz w:val="24"/>
          <w:szCs w:val="24"/>
          <w:lang w:val="en-GB"/>
        </w:rPr>
      </w:pPr>
    </w:p>
    <w:p>
      <w:pPr>
        <w:spacing w:after="0" w:line="480" w:lineRule="auto"/>
        <w:jc w:val="both"/>
        <w:rPr>
          <w:rFonts w:ascii="Times New Roman" w:hAnsi="Times New Roman" w:cs="Times New Roman"/>
          <w:b/>
          <w:bCs/>
          <w:iCs/>
          <w:sz w:val="24"/>
          <w:szCs w:val="24"/>
          <w:lang w:val="en-GB"/>
        </w:rPr>
      </w:pPr>
    </w:p>
    <w:p>
      <w:pPr>
        <w:spacing w:after="0" w:line="480" w:lineRule="auto"/>
        <w:jc w:val="both"/>
        <w:rPr>
          <w:rFonts w:ascii="Times New Roman" w:hAnsi="Times New Roman" w:cs="Times New Roman"/>
          <w:b/>
          <w:bCs/>
          <w:iCs/>
          <w:sz w:val="24"/>
          <w:szCs w:val="24"/>
          <w:lang w:val="en-GB"/>
        </w:rPr>
      </w:pPr>
    </w:p>
    <w:p>
      <w:pPr>
        <w:spacing w:after="0" w:line="480" w:lineRule="auto"/>
        <w:jc w:val="both"/>
        <w:rPr>
          <w:rFonts w:ascii="Times New Roman" w:hAnsi="Times New Roman" w:cs="Times New Roman"/>
          <w:b/>
          <w:bCs/>
          <w:iCs/>
          <w:sz w:val="24"/>
          <w:szCs w:val="24"/>
          <w:lang w:val="en-GB"/>
        </w:rPr>
      </w:pPr>
    </w:p>
    <w:p>
      <w:pPr>
        <w:spacing w:after="0" w:line="480" w:lineRule="auto"/>
        <w:jc w:val="both"/>
        <w:rPr>
          <w:rFonts w:ascii="Times New Roman" w:hAnsi="Times New Roman" w:cs="Times New Roman"/>
          <w:b/>
          <w:bCs/>
          <w:iCs/>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19"/>
      </w:tblGrid>
      <w:tr>
        <w:tc>
          <w:tcPr>
            <w:tcW w:w="4508" w:type="dxa"/>
          </w:tcPr>
          <w:p>
            <w:pPr>
              <w:jc w:val="both"/>
              <w:rPr>
                <w:rFonts w:ascii="Times New Roman" w:hAnsi="Times New Roman" w:cs="Times New Roman"/>
                <w:b/>
                <w:bCs/>
                <w:iCs/>
                <w:sz w:val="24"/>
                <w:szCs w:val="24"/>
                <w:lang w:val="en-GB"/>
              </w:rPr>
            </w:pPr>
            <w:r>
              <w:rPr>
                <w:rFonts w:ascii="Times New Roman" w:hAnsi="Times New Roman" w:cs="Times New Roman"/>
                <w:b/>
                <w:bCs/>
                <w:iCs/>
                <w:sz w:val="24"/>
                <w:szCs w:val="24"/>
                <w:lang w:val="en-GB"/>
              </w:rPr>
              <w:t>(a)</w:t>
            </w:r>
          </w:p>
        </w:tc>
        <w:tc>
          <w:tcPr>
            <w:tcW w:w="4508" w:type="dxa"/>
          </w:tcPr>
          <w:p>
            <w:pPr>
              <w:jc w:val="both"/>
              <w:rPr>
                <w:rFonts w:ascii="Times New Roman" w:hAnsi="Times New Roman" w:cs="Times New Roman"/>
                <w:b/>
                <w:bCs/>
                <w:iCs/>
                <w:sz w:val="24"/>
                <w:szCs w:val="24"/>
                <w:lang w:val="en-GB"/>
              </w:rPr>
            </w:pPr>
            <w:r>
              <w:rPr>
                <w:rFonts w:ascii="Times New Roman" w:hAnsi="Times New Roman" w:cs="Times New Roman"/>
                <w:b/>
                <w:bCs/>
                <w:iCs/>
                <w:sz w:val="24"/>
                <w:szCs w:val="24"/>
                <w:lang w:val="en-GB"/>
              </w:rPr>
              <w:t>(b)</w:t>
            </w:r>
          </w:p>
        </w:tc>
      </w:tr>
      <w:tr>
        <w:tc>
          <w:tcPr>
            <w:tcW w:w="4508" w:type="dxa"/>
          </w:tcPr>
          <w:p>
            <w:pPr>
              <w:jc w:val="both"/>
              <w:rPr>
                <w:rFonts w:ascii="Times New Roman" w:hAnsi="Times New Roman" w:cs="Times New Roman"/>
                <w:b/>
                <w:bCs/>
                <w:iCs/>
                <w:sz w:val="24"/>
                <w:szCs w:val="24"/>
                <w:highlight w:val="yellow"/>
                <w:lang w:val="en-GB"/>
              </w:rPr>
            </w:pPr>
            <w:r>
              <w:rPr>
                <w:noProof/>
              </w:rPr>
              <w:drawing>
                <wp:inline distT="0" distB="0" distL="0" distR="0">
                  <wp:extent cx="2722418" cy="2297738"/>
                  <wp:effectExtent l="0" t="0" r="190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39695" cy="2312320"/>
                          </a:xfrm>
                          <a:prstGeom prst="rect">
                            <a:avLst/>
                          </a:prstGeom>
                        </pic:spPr>
                      </pic:pic>
                    </a:graphicData>
                  </a:graphic>
                </wp:inline>
              </w:drawing>
            </w:r>
          </w:p>
        </w:tc>
        <w:tc>
          <w:tcPr>
            <w:tcW w:w="4508" w:type="dxa"/>
          </w:tcPr>
          <w:p>
            <w:pPr>
              <w:jc w:val="both"/>
              <w:rPr>
                <w:rFonts w:ascii="Times New Roman" w:hAnsi="Times New Roman" w:cs="Times New Roman"/>
                <w:b/>
                <w:bCs/>
                <w:iCs/>
                <w:sz w:val="24"/>
                <w:szCs w:val="24"/>
                <w:highlight w:val="yellow"/>
                <w:lang w:val="en-GB"/>
              </w:rPr>
            </w:pPr>
            <w:r>
              <w:rPr>
                <w:noProof/>
              </w:rPr>
              <w:drawing>
                <wp:inline distT="0" distB="0" distL="0" distR="0">
                  <wp:extent cx="2732604" cy="2321170"/>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3643" cy="2330547"/>
                          </a:xfrm>
                          <a:prstGeom prst="rect">
                            <a:avLst/>
                          </a:prstGeom>
                        </pic:spPr>
                      </pic:pic>
                    </a:graphicData>
                  </a:graphic>
                </wp:inline>
              </w:drawing>
            </w:r>
          </w:p>
        </w:tc>
      </w:tr>
    </w:tbl>
    <w:p>
      <w:pPr>
        <w:spacing w:after="0" w:line="480" w:lineRule="auto"/>
        <w:jc w:val="both"/>
        <w:rPr>
          <w:rFonts w:ascii="Times New Roman" w:hAnsi="Times New Roman" w:cs="Times New Roman"/>
          <w:iCs/>
          <w:sz w:val="24"/>
          <w:szCs w:val="24"/>
          <w:lang w:val="en-GB"/>
        </w:rPr>
      </w:pPr>
      <w:r>
        <w:rPr>
          <w:rFonts w:ascii="Times New Roman" w:hAnsi="Times New Roman" w:cs="Times New Roman"/>
          <w:b/>
          <w:bCs/>
          <w:iCs/>
          <w:sz w:val="24"/>
          <w:szCs w:val="24"/>
          <w:lang w:val="en-GB"/>
        </w:rPr>
        <w:t>Fig.</w:t>
      </w:r>
      <w:r>
        <w:rPr>
          <w:rFonts w:ascii="Times New Roman" w:hAnsi="Times New Roman" w:cs="Times New Roman"/>
          <w:iCs/>
          <w:sz w:val="24"/>
          <w:szCs w:val="24"/>
          <w:lang w:val="en-GB"/>
        </w:rPr>
        <w:t xml:space="preserve"> </w:t>
      </w:r>
      <w:r>
        <w:rPr>
          <w:rFonts w:ascii="Times New Roman" w:hAnsi="Times New Roman" w:cs="Times New Roman"/>
          <w:b/>
          <w:bCs/>
          <w:iCs/>
          <w:sz w:val="24"/>
          <w:szCs w:val="24"/>
          <w:lang w:val="en-GB"/>
        </w:rPr>
        <w:t>S2.</w:t>
      </w:r>
      <w:r>
        <w:rPr>
          <w:rFonts w:ascii="Times New Roman" w:hAnsi="Times New Roman" w:cs="Times New Roman"/>
          <w:iCs/>
          <w:sz w:val="24"/>
          <w:szCs w:val="24"/>
          <w:lang w:val="en-GB"/>
        </w:rPr>
        <w:t xml:space="preserve"> Comparing DT – (a) and WT – (b) of WCPR. Reaction conditions for DT: 5.0 g of WCPR, N</w:t>
      </w:r>
      <w:r>
        <w:rPr>
          <w:rFonts w:ascii="Times New Roman" w:hAnsi="Times New Roman" w:cs="Times New Roman"/>
          <w:iCs/>
          <w:sz w:val="24"/>
          <w:szCs w:val="24"/>
          <w:vertAlign w:val="subscript"/>
          <w:lang w:val="en-GB"/>
        </w:rPr>
        <w:t>2</w:t>
      </w:r>
      <w:r>
        <w:rPr>
          <w:rFonts w:ascii="Times New Roman" w:hAnsi="Times New Roman" w:cs="Times New Roman"/>
          <w:iCs/>
          <w:sz w:val="24"/>
          <w:szCs w:val="24"/>
          <w:lang w:val="en-GB"/>
        </w:rPr>
        <w:t xml:space="preserve"> flow of 200 mL/min, reaction temperature of 260 °C, and a reaction time of 30 min. Reaction conditions for WT: 3.0 g of WCPR, 30 mL of water, stirring speed at 900 rpm, reaction temperature of 260 °C, and a reaction time of 30 min.</w:t>
      </w:r>
    </w:p>
    <w:p>
      <w:pPr>
        <w:spacing w:after="0" w:line="480" w:lineRule="auto"/>
        <w:jc w:val="both"/>
        <w:rPr>
          <w:rFonts w:ascii="Times New Roman" w:hAnsi="Times New Roman" w:cs="Times New Roman"/>
          <w:b/>
          <w:bCs/>
          <w:iCs/>
          <w:sz w:val="24"/>
          <w:szCs w:val="24"/>
          <w:lang w:val="en-GB"/>
        </w:rPr>
      </w:pPr>
    </w:p>
    <w:p>
      <w:pPr>
        <w:spacing w:after="0" w:line="480" w:lineRule="auto"/>
        <w:jc w:val="both"/>
        <w:rPr>
          <w:rFonts w:ascii="Times New Roman" w:hAnsi="Times New Roman" w:cs="Times New Roman"/>
          <w:b/>
          <w:bCs/>
          <w:iCs/>
          <w:sz w:val="24"/>
          <w:szCs w:val="24"/>
          <w:lang w:val="en-GB"/>
        </w:rPr>
        <w:sectPr>
          <w:pgSz w:w="12240" w:h="15840"/>
          <w:pgMar w:top="1440" w:right="1440" w:bottom="1440" w:left="1440" w:header="720" w:footer="720" w:gutter="0"/>
          <w:cols w:space="720"/>
          <w:docGrid w:linePitch="360"/>
        </w:sectPr>
      </w:pPr>
    </w:p>
    <w:p>
      <w:pPr>
        <w:spacing w:after="0" w:line="480" w:lineRule="auto"/>
        <w:jc w:val="both"/>
        <w:rPr>
          <w:rFonts w:ascii="Times New Roman" w:hAnsi="Times New Roman" w:cs="Times New Roman"/>
          <w:iCs/>
          <w:sz w:val="24"/>
          <w:szCs w:val="24"/>
          <w:lang w:val="en-GB"/>
        </w:rPr>
      </w:pPr>
      <w:r>
        <w:rPr>
          <w:rFonts w:ascii="Times New Roman" w:hAnsi="Times New Roman" w:cs="Times New Roman"/>
          <w:b/>
          <w:bCs/>
          <w:iCs/>
          <w:sz w:val="24"/>
          <w:szCs w:val="24"/>
          <w:lang w:val="en-GB"/>
        </w:rPr>
        <w:lastRenderedPageBreak/>
        <w:t>Table S2.</w:t>
      </w:r>
      <w:r>
        <w:rPr>
          <w:rFonts w:ascii="Times New Roman" w:hAnsi="Times New Roman" w:cs="Times New Roman"/>
          <w:iCs/>
          <w:sz w:val="24"/>
          <w:szCs w:val="24"/>
          <w:lang w:val="en-GB"/>
        </w:rPr>
        <w:t xml:space="preserve"> </w:t>
      </w:r>
      <w:bookmarkStart w:id="3" w:name="_Hlk148615611"/>
      <w:r>
        <w:rPr>
          <w:rFonts w:ascii="Times New Roman" w:hAnsi="Times New Roman" w:cs="Times New Roman"/>
          <w:iCs/>
          <w:sz w:val="24"/>
          <w:szCs w:val="24"/>
        </w:rPr>
        <w:t>Proximate and elemental analysis, BET surface area, pore diameter (PD), crystalline index, and crystallite size of the DT of WCPR</w:t>
      </w:r>
      <w:r>
        <w:rPr>
          <w:rFonts w:ascii="Times New Roman" w:hAnsi="Times New Roman" w:cs="Times New Roman"/>
          <w:iCs/>
          <w:sz w:val="24"/>
          <w:szCs w:val="24"/>
          <w:lang w:val="en-GB"/>
        </w:rPr>
        <w:t xml:space="preserve"> samples as compared to the WCPR.</w:t>
      </w:r>
      <w:bookmarkEnd w:id="3"/>
    </w:p>
    <w:tbl>
      <w:tblPr>
        <w:tblStyle w:val="TableGrid"/>
        <w:tblW w:w="0" w:type="auto"/>
        <w:jc w:val="center"/>
        <w:tblLayout w:type="fixed"/>
        <w:tblLook w:val="04A0" w:firstRow="1" w:lastRow="0" w:firstColumn="1" w:lastColumn="0" w:noHBand="0" w:noVBand="1"/>
      </w:tblPr>
      <w:tblGrid>
        <w:gridCol w:w="1550"/>
        <w:gridCol w:w="553"/>
        <w:gridCol w:w="589"/>
        <w:gridCol w:w="994"/>
        <w:gridCol w:w="666"/>
        <w:gridCol w:w="666"/>
        <w:gridCol w:w="566"/>
        <w:gridCol w:w="666"/>
        <w:gridCol w:w="566"/>
        <w:gridCol w:w="566"/>
        <w:gridCol w:w="566"/>
        <w:gridCol w:w="566"/>
        <w:gridCol w:w="1159"/>
        <w:gridCol w:w="644"/>
        <w:gridCol w:w="1353"/>
        <w:gridCol w:w="1290"/>
      </w:tblGrid>
      <w:tr>
        <w:trPr>
          <w:trHeight w:val="554"/>
          <w:jc w:val="center"/>
        </w:trPr>
        <w:tc>
          <w:tcPr>
            <w:tcW w:w="1550" w:type="dxa"/>
            <w:vMerge w:val="restart"/>
            <w:tcBorders>
              <w:top w:val="single" w:sz="4" w:space="0" w:color="auto"/>
              <w:left w:val="nil"/>
              <w:bottom w:val="single" w:sz="4" w:space="0" w:color="auto"/>
              <w:right w:val="nil"/>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Samples</w:t>
            </w:r>
          </w:p>
        </w:tc>
        <w:tc>
          <w:tcPr>
            <w:tcW w:w="553" w:type="dxa"/>
            <w:vMerge w:val="restart"/>
            <w:tcBorders>
              <w:top w:val="single" w:sz="4" w:space="0" w:color="auto"/>
              <w:left w:val="nil"/>
              <w:bottom w:val="single" w:sz="4" w:space="0" w:color="auto"/>
              <w:right w:val="nil"/>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T, °C</w:t>
            </w:r>
          </w:p>
        </w:tc>
        <w:tc>
          <w:tcPr>
            <w:tcW w:w="589" w:type="dxa"/>
            <w:vMerge w:val="restart"/>
            <w:tcBorders>
              <w:top w:val="single" w:sz="4" w:space="0" w:color="auto"/>
              <w:left w:val="nil"/>
              <w:bottom w:val="single" w:sz="4" w:space="0" w:color="auto"/>
              <w:right w:val="nil"/>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t, min</w:t>
            </w:r>
          </w:p>
        </w:tc>
        <w:tc>
          <w:tcPr>
            <w:tcW w:w="2892" w:type="dxa"/>
            <w:gridSpan w:val="4"/>
            <w:tcBorders>
              <w:top w:val="single" w:sz="4" w:space="0" w:color="auto"/>
              <w:left w:val="nil"/>
              <w:bottom w:val="single" w:sz="4" w:space="0" w:color="auto"/>
              <w:right w:val="nil"/>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Proximate analysis</w:t>
            </w:r>
          </w:p>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w:t>
            </w:r>
            <w:proofErr w:type="spellStart"/>
            <w:r>
              <w:rPr>
                <w:rFonts w:ascii="Times New Roman" w:hAnsi="Times New Roman" w:cs="Times New Roman"/>
                <w:b/>
                <w:bCs/>
                <w:sz w:val="20"/>
                <w:szCs w:val="20"/>
                <w:lang w:val="en-GB"/>
              </w:rPr>
              <w:t>wt</w:t>
            </w:r>
            <w:proofErr w:type="spellEnd"/>
            <w:r>
              <w:rPr>
                <w:rFonts w:ascii="Times New Roman" w:hAnsi="Times New Roman" w:cs="Times New Roman"/>
                <w:b/>
                <w:bCs/>
                <w:sz w:val="20"/>
                <w:szCs w:val="20"/>
                <w:lang w:val="en-GB"/>
              </w:rPr>
              <w:t>%)</w:t>
            </w:r>
          </w:p>
        </w:tc>
        <w:tc>
          <w:tcPr>
            <w:tcW w:w="2930" w:type="dxa"/>
            <w:gridSpan w:val="5"/>
            <w:tcBorders>
              <w:top w:val="single" w:sz="4" w:space="0" w:color="auto"/>
              <w:left w:val="nil"/>
              <w:bottom w:val="single" w:sz="4" w:space="0" w:color="auto"/>
              <w:right w:val="nil"/>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Elemental analysis (</w:t>
            </w:r>
            <w:proofErr w:type="spellStart"/>
            <w:r>
              <w:rPr>
                <w:rFonts w:ascii="Times New Roman" w:hAnsi="Times New Roman" w:cs="Times New Roman"/>
                <w:b/>
                <w:bCs/>
                <w:sz w:val="20"/>
                <w:szCs w:val="20"/>
                <w:lang w:val="en-GB"/>
              </w:rPr>
              <w:t>wt</w:t>
            </w:r>
            <w:proofErr w:type="spellEnd"/>
            <w:r>
              <w:rPr>
                <w:rFonts w:ascii="Times New Roman" w:hAnsi="Times New Roman" w:cs="Times New Roman"/>
                <w:b/>
                <w:bCs/>
                <w:sz w:val="20"/>
                <w:szCs w:val="20"/>
                <w:lang w:val="en-GB"/>
              </w:rPr>
              <w:t>%)</w:t>
            </w:r>
          </w:p>
        </w:tc>
        <w:tc>
          <w:tcPr>
            <w:tcW w:w="1159" w:type="dxa"/>
            <w:vMerge w:val="restart"/>
            <w:tcBorders>
              <w:top w:val="single" w:sz="4" w:space="0" w:color="auto"/>
              <w:left w:val="nil"/>
              <w:bottom w:val="single" w:sz="4" w:space="0" w:color="auto"/>
              <w:right w:val="nil"/>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BET surface area, m</w:t>
            </w:r>
            <w:r>
              <w:rPr>
                <w:rFonts w:ascii="Times New Roman" w:hAnsi="Times New Roman" w:cs="Times New Roman"/>
                <w:b/>
                <w:bCs/>
                <w:sz w:val="20"/>
                <w:szCs w:val="20"/>
                <w:vertAlign w:val="superscript"/>
                <w:lang w:val="en-GB"/>
              </w:rPr>
              <w:t>2</w:t>
            </w:r>
            <w:r>
              <w:rPr>
                <w:rFonts w:ascii="Times New Roman" w:hAnsi="Times New Roman" w:cs="Times New Roman"/>
                <w:b/>
                <w:bCs/>
                <w:sz w:val="20"/>
                <w:szCs w:val="20"/>
                <w:lang w:val="en-GB"/>
              </w:rPr>
              <w:t>/g</w:t>
            </w:r>
          </w:p>
        </w:tc>
        <w:tc>
          <w:tcPr>
            <w:tcW w:w="644" w:type="dxa"/>
            <w:vMerge w:val="restart"/>
            <w:tcBorders>
              <w:top w:val="single" w:sz="4" w:space="0" w:color="auto"/>
              <w:left w:val="nil"/>
              <w:bottom w:val="single" w:sz="4" w:space="0" w:color="auto"/>
              <w:right w:val="nil"/>
            </w:tcBorders>
            <w:vAlign w:val="center"/>
          </w:tcPr>
          <w:p>
            <w:pPr>
              <w:spacing w:line="360" w:lineRule="auto"/>
              <w:jc w:val="center"/>
              <w:rPr>
                <w:rFonts w:ascii="Times New Roman" w:hAnsi="Times New Roman" w:cs="Times New Roman"/>
                <w:b/>
                <w:bCs/>
                <w:sz w:val="20"/>
                <w:szCs w:val="20"/>
                <w:vertAlign w:val="superscript"/>
                <w:lang w:val="en-GB"/>
              </w:rPr>
            </w:pPr>
            <w:r>
              <w:rPr>
                <w:rFonts w:ascii="Times New Roman" w:hAnsi="Times New Roman" w:cs="Times New Roman"/>
                <w:b/>
                <w:bCs/>
                <w:sz w:val="20"/>
                <w:szCs w:val="20"/>
                <w:lang w:val="en-GB"/>
              </w:rPr>
              <w:t>PD</w:t>
            </w:r>
            <w:r>
              <w:rPr>
                <w:rFonts w:ascii="Times New Roman" w:hAnsi="Times New Roman" w:cs="Times New Roman"/>
                <w:b/>
                <w:bCs/>
                <w:sz w:val="20"/>
                <w:szCs w:val="20"/>
                <w:vertAlign w:val="superscript"/>
                <w:lang w:val="en-GB"/>
              </w:rPr>
              <w:t>3</w:t>
            </w:r>
            <w:r>
              <w:rPr>
                <w:rFonts w:ascii="Times New Roman" w:hAnsi="Times New Roman" w:cs="Times New Roman"/>
                <w:b/>
                <w:bCs/>
                <w:sz w:val="20"/>
                <w:szCs w:val="20"/>
                <w:lang w:val="en-GB"/>
              </w:rPr>
              <w:t>, Å</w:t>
            </w:r>
          </w:p>
        </w:tc>
        <w:tc>
          <w:tcPr>
            <w:tcW w:w="1353" w:type="dxa"/>
            <w:vMerge w:val="restart"/>
            <w:tcBorders>
              <w:top w:val="single" w:sz="4" w:space="0" w:color="auto"/>
              <w:left w:val="nil"/>
              <w:bottom w:val="single" w:sz="4" w:space="0" w:color="auto"/>
              <w:right w:val="nil"/>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Crystalline index, %</w:t>
            </w:r>
          </w:p>
        </w:tc>
        <w:tc>
          <w:tcPr>
            <w:tcW w:w="1290" w:type="dxa"/>
            <w:vMerge w:val="restart"/>
            <w:tcBorders>
              <w:top w:val="single" w:sz="4" w:space="0" w:color="auto"/>
              <w:left w:val="nil"/>
              <w:bottom w:val="single" w:sz="4" w:space="0" w:color="auto"/>
              <w:right w:val="nil"/>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Crystallite size, nm</w:t>
            </w:r>
          </w:p>
        </w:tc>
      </w:tr>
      <w:tr>
        <w:trPr>
          <w:trHeight w:val="372"/>
          <w:jc w:val="center"/>
        </w:trPr>
        <w:tc>
          <w:tcPr>
            <w:tcW w:w="1550" w:type="dxa"/>
            <w:vMerge/>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p>
        </w:tc>
        <w:tc>
          <w:tcPr>
            <w:tcW w:w="553" w:type="dxa"/>
            <w:vMerge/>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p>
        </w:tc>
        <w:tc>
          <w:tcPr>
            <w:tcW w:w="589" w:type="dxa"/>
            <w:vMerge/>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p>
        </w:tc>
        <w:tc>
          <w:tcPr>
            <w:tcW w:w="994" w:type="dxa"/>
            <w:tcBorders>
              <w:top w:val="single" w:sz="4" w:space="0" w:color="auto"/>
              <w:left w:val="nil"/>
              <w:bottom w:val="single" w:sz="4" w:space="0" w:color="auto"/>
              <w:right w:val="nil"/>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Moisture</w:t>
            </w:r>
          </w:p>
        </w:tc>
        <w:tc>
          <w:tcPr>
            <w:tcW w:w="666" w:type="dxa"/>
            <w:tcBorders>
              <w:top w:val="single" w:sz="4" w:space="0" w:color="auto"/>
              <w:left w:val="nil"/>
              <w:bottom w:val="single" w:sz="4" w:space="0" w:color="auto"/>
              <w:right w:val="nil"/>
            </w:tcBorders>
            <w:vAlign w:val="center"/>
          </w:tcPr>
          <w:p>
            <w:pPr>
              <w:spacing w:line="360" w:lineRule="auto"/>
              <w:jc w:val="center"/>
              <w:rPr>
                <w:rFonts w:ascii="Times New Roman" w:hAnsi="Times New Roman" w:cs="Times New Roman"/>
                <w:b/>
                <w:bCs/>
                <w:sz w:val="20"/>
                <w:szCs w:val="20"/>
                <w:vertAlign w:val="superscript"/>
                <w:lang w:val="en-GB"/>
              </w:rPr>
            </w:pPr>
            <w:r>
              <w:rPr>
                <w:rFonts w:ascii="Times New Roman" w:hAnsi="Times New Roman" w:cs="Times New Roman"/>
                <w:b/>
                <w:bCs/>
                <w:sz w:val="20"/>
                <w:szCs w:val="20"/>
                <w:lang w:val="en-GB"/>
              </w:rPr>
              <w:t>VM</w:t>
            </w:r>
            <w:r>
              <w:rPr>
                <w:rFonts w:ascii="Times New Roman" w:hAnsi="Times New Roman" w:cs="Times New Roman"/>
                <w:b/>
                <w:bCs/>
                <w:sz w:val="20"/>
                <w:szCs w:val="20"/>
                <w:vertAlign w:val="superscript"/>
                <w:lang w:val="en-GB"/>
              </w:rPr>
              <w:t>1</w:t>
            </w:r>
          </w:p>
        </w:tc>
        <w:tc>
          <w:tcPr>
            <w:tcW w:w="666" w:type="dxa"/>
            <w:tcBorders>
              <w:top w:val="single" w:sz="4" w:space="0" w:color="auto"/>
              <w:left w:val="nil"/>
              <w:bottom w:val="single" w:sz="4" w:space="0" w:color="auto"/>
              <w:right w:val="nil"/>
            </w:tcBorders>
            <w:vAlign w:val="center"/>
          </w:tcPr>
          <w:p>
            <w:pPr>
              <w:spacing w:line="360" w:lineRule="auto"/>
              <w:jc w:val="center"/>
              <w:rPr>
                <w:rFonts w:ascii="Times New Roman" w:hAnsi="Times New Roman" w:cs="Times New Roman"/>
                <w:b/>
                <w:bCs/>
                <w:sz w:val="20"/>
                <w:szCs w:val="20"/>
                <w:vertAlign w:val="superscript"/>
                <w:lang w:val="en-GB"/>
              </w:rPr>
            </w:pPr>
            <w:r>
              <w:rPr>
                <w:rFonts w:ascii="Times New Roman" w:hAnsi="Times New Roman" w:cs="Times New Roman"/>
                <w:b/>
                <w:bCs/>
                <w:sz w:val="20"/>
                <w:szCs w:val="20"/>
                <w:lang w:val="en-GB"/>
              </w:rPr>
              <w:t>FC</w:t>
            </w:r>
            <w:r>
              <w:rPr>
                <w:rFonts w:ascii="Times New Roman" w:hAnsi="Times New Roman" w:cs="Times New Roman"/>
                <w:b/>
                <w:bCs/>
                <w:sz w:val="20"/>
                <w:szCs w:val="20"/>
                <w:vertAlign w:val="superscript"/>
                <w:lang w:val="en-GB"/>
              </w:rPr>
              <w:t>2</w:t>
            </w:r>
          </w:p>
        </w:tc>
        <w:tc>
          <w:tcPr>
            <w:tcW w:w="566" w:type="dxa"/>
            <w:tcBorders>
              <w:top w:val="single" w:sz="4" w:space="0" w:color="auto"/>
              <w:left w:val="nil"/>
              <w:bottom w:val="single" w:sz="4" w:space="0" w:color="auto"/>
              <w:right w:val="nil"/>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Ash</w:t>
            </w:r>
          </w:p>
        </w:tc>
        <w:tc>
          <w:tcPr>
            <w:tcW w:w="666" w:type="dxa"/>
            <w:tcBorders>
              <w:top w:val="single" w:sz="4" w:space="0" w:color="auto"/>
              <w:left w:val="nil"/>
              <w:bottom w:val="single" w:sz="4" w:space="0" w:color="auto"/>
              <w:right w:val="nil"/>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C</w:t>
            </w:r>
          </w:p>
        </w:tc>
        <w:tc>
          <w:tcPr>
            <w:tcW w:w="566" w:type="dxa"/>
            <w:tcBorders>
              <w:top w:val="single" w:sz="4" w:space="0" w:color="auto"/>
              <w:left w:val="nil"/>
              <w:bottom w:val="single" w:sz="4" w:space="0" w:color="auto"/>
              <w:right w:val="nil"/>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H</w:t>
            </w:r>
          </w:p>
        </w:tc>
        <w:tc>
          <w:tcPr>
            <w:tcW w:w="566" w:type="dxa"/>
            <w:tcBorders>
              <w:top w:val="single" w:sz="4" w:space="0" w:color="auto"/>
              <w:left w:val="nil"/>
              <w:bottom w:val="single" w:sz="4" w:space="0" w:color="auto"/>
              <w:right w:val="nil"/>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O</w:t>
            </w:r>
          </w:p>
        </w:tc>
        <w:tc>
          <w:tcPr>
            <w:tcW w:w="566" w:type="dxa"/>
            <w:tcBorders>
              <w:top w:val="single" w:sz="4" w:space="0" w:color="auto"/>
              <w:left w:val="nil"/>
              <w:bottom w:val="single" w:sz="4" w:space="0" w:color="auto"/>
              <w:right w:val="nil"/>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N</w:t>
            </w:r>
          </w:p>
        </w:tc>
        <w:tc>
          <w:tcPr>
            <w:tcW w:w="566" w:type="dxa"/>
            <w:tcBorders>
              <w:top w:val="single" w:sz="4" w:space="0" w:color="auto"/>
              <w:left w:val="nil"/>
              <w:bottom w:val="single" w:sz="4" w:space="0" w:color="auto"/>
              <w:right w:val="nil"/>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S</w:t>
            </w:r>
          </w:p>
        </w:tc>
        <w:tc>
          <w:tcPr>
            <w:tcW w:w="1159" w:type="dxa"/>
            <w:vMerge/>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p>
        </w:tc>
        <w:tc>
          <w:tcPr>
            <w:tcW w:w="644" w:type="dxa"/>
            <w:vMerge/>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p>
        </w:tc>
        <w:tc>
          <w:tcPr>
            <w:tcW w:w="1353" w:type="dxa"/>
            <w:vMerge/>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p>
        </w:tc>
        <w:tc>
          <w:tcPr>
            <w:tcW w:w="1290" w:type="dxa"/>
            <w:vMerge/>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p>
        </w:tc>
      </w:tr>
      <w:tr>
        <w:trPr>
          <w:jc w:val="center"/>
        </w:trPr>
        <w:tc>
          <w:tcPr>
            <w:tcW w:w="1550"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WCPR</w:t>
            </w:r>
          </w:p>
        </w:tc>
        <w:tc>
          <w:tcPr>
            <w:tcW w:w="553"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w:t>
            </w:r>
          </w:p>
        </w:tc>
        <w:tc>
          <w:tcPr>
            <w:tcW w:w="589"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w:t>
            </w:r>
          </w:p>
        </w:tc>
        <w:tc>
          <w:tcPr>
            <w:tcW w:w="994"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3.91</w:t>
            </w:r>
          </w:p>
        </w:tc>
        <w:tc>
          <w:tcPr>
            <w:tcW w:w="6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78.72</w:t>
            </w:r>
          </w:p>
        </w:tc>
        <w:tc>
          <w:tcPr>
            <w:tcW w:w="6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15.91</w:t>
            </w:r>
          </w:p>
        </w:tc>
        <w:tc>
          <w:tcPr>
            <w:tcW w:w="5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1.46</w:t>
            </w:r>
          </w:p>
        </w:tc>
        <w:tc>
          <w:tcPr>
            <w:tcW w:w="6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48.25</w:t>
            </w:r>
          </w:p>
        </w:tc>
        <w:tc>
          <w:tcPr>
            <w:tcW w:w="5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6.22</w:t>
            </w:r>
          </w:p>
        </w:tc>
        <w:tc>
          <w:tcPr>
            <w:tcW w:w="5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39.6</w:t>
            </w:r>
          </w:p>
        </w:tc>
        <w:tc>
          <w:tcPr>
            <w:tcW w:w="5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0.10</w:t>
            </w:r>
          </w:p>
        </w:tc>
        <w:tc>
          <w:tcPr>
            <w:tcW w:w="5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0.45</w:t>
            </w:r>
          </w:p>
        </w:tc>
        <w:tc>
          <w:tcPr>
            <w:tcW w:w="1159"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3.4</w:t>
            </w:r>
          </w:p>
        </w:tc>
        <w:tc>
          <w:tcPr>
            <w:tcW w:w="644"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73</w:t>
            </w:r>
          </w:p>
        </w:tc>
        <w:tc>
          <w:tcPr>
            <w:tcW w:w="1353"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76.5</w:t>
            </w:r>
          </w:p>
        </w:tc>
        <w:tc>
          <w:tcPr>
            <w:tcW w:w="1290"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3.3</w:t>
            </w:r>
          </w:p>
        </w:tc>
      </w:tr>
      <w:tr>
        <w:trPr>
          <w:trHeight w:val="249"/>
          <w:jc w:val="center"/>
        </w:trPr>
        <w:tc>
          <w:tcPr>
            <w:tcW w:w="1550"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DT_WCPR_210</w:t>
            </w:r>
          </w:p>
        </w:tc>
        <w:tc>
          <w:tcPr>
            <w:tcW w:w="553"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210</w:t>
            </w:r>
          </w:p>
        </w:tc>
        <w:tc>
          <w:tcPr>
            <w:tcW w:w="589"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15</w:t>
            </w:r>
          </w:p>
        </w:tc>
        <w:tc>
          <w:tcPr>
            <w:tcW w:w="994"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2.64</w:t>
            </w:r>
          </w:p>
        </w:tc>
        <w:tc>
          <w:tcPr>
            <w:tcW w:w="6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79.25</w:t>
            </w:r>
          </w:p>
        </w:tc>
        <w:tc>
          <w:tcPr>
            <w:tcW w:w="6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13.37</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4.73</w:t>
            </w:r>
          </w:p>
        </w:tc>
        <w:tc>
          <w:tcPr>
            <w:tcW w:w="6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50.09</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5.96</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36.1</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0.14</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0.35</w:t>
            </w:r>
          </w:p>
        </w:tc>
        <w:tc>
          <w:tcPr>
            <w:tcW w:w="1159"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4.2</w:t>
            </w:r>
          </w:p>
        </w:tc>
        <w:tc>
          <w:tcPr>
            <w:tcW w:w="644"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318</w:t>
            </w:r>
          </w:p>
        </w:tc>
        <w:tc>
          <w:tcPr>
            <w:tcW w:w="1353"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73.5</w:t>
            </w:r>
          </w:p>
        </w:tc>
        <w:tc>
          <w:tcPr>
            <w:tcW w:w="1290"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3.2</w:t>
            </w:r>
          </w:p>
        </w:tc>
      </w:tr>
      <w:tr>
        <w:trPr>
          <w:trHeight w:val="266"/>
          <w:jc w:val="center"/>
        </w:trPr>
        <w:tc>
          <w:tcPr>
            <w:tcW w:w="1550"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DT_WCPR_240</w:t>
            </w:r>
          </w:p>
        </w:tc>
        <w:tc>
          <w:tcPr>
            <w:tcW w:w="553"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240</w:t>
            </w:r>
          </w:p>
        </w:tc>
        <w:tc>
          <w:tcPr>
            <w:tcW w:w="589"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15</w:t>
            </w:r>
          </w:p>
        </w:tc>
        <w:tc>
          <w:tcPr>
            <w:tcW w:w="994"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1.44</w:t>
            </w:r>
          </w:p>
        </w:tc>
        <w:tc>
          <w:tcPr>
            <w:tcW w:w="6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79.77</w:t>
            </w:r>
          </w:p>
        </w:tc>
        <w:tc>
          <w:tcPr>
            <w:tcW w:w="6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16.67</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2.13</w:t>
            </w:r>
          </w:p>
        </w:tc>
        <w:tc>
          <w:tcPr>
            <w:tcW w:w="6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49.72</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5.75</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40.5</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0.15</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0.36</w:t>
            </w:r>
          </w:p>
        </w:tc>
        <w:tc>
          <w:tcPr>
            <w:tcW w:w="1159"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644"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268</w:t>
            </w:r>
          </w:p>
        </w:tc>
        <w:tc>
          <w:tcPr>
            <w:tcW w:w="1353"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69.5</w:t>
            </w:r>
          </w:p>
        </w:tc>
        <w:tc>
          <w:tcPr>
            <w:tcW w:w="1290"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3.0</w:t>
            </w:r>
          </w:p>
        </w:tc>
      </w:tr>
      <w:tr>
        <w:trPr>
          <w:jc w:val="center"/>
        </w:trPr>
        <w:tc>
          <w:tcPr>
            <w:tcW w:w="1550"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DT_WCPR_270</w:t>
            </w:r>
          </w:p>
        </w:tc>
        <w:tc>
          <w:tcPr>
            <w:tcW w:w="553"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270</w:t>
            </w:r>
          </w:p>
        </w:tc>
        <w:tc>
          <w:tcPr>
            <w:tcW w:w="589"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15</w:t>
            </w:r>
          </w:p>
        </w:tc>
        <w:tc>
          <w:tcPr>
            <w:tcW w:w="994"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1.67</w:t>
            </w:r>
          </w:p>
        </w:tc>
        <w:tc>
          <w:tcPr>
            <w:tcW w:w="6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73.95</w:t>
            </w:r>
          </w:p>
        </w:tc>
        <w:tc>
          <w:tcPr>
            <w:tcW w:w="6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21.82</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2.56</w:t>
            </w:r>
          </w:p>
        </w:tc>
        <w:tc>
          <w:tcPr>
            <w:tcW w:w="6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53.58</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5.49</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36.2</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0.16</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0.38</w:t>
            </w:r>
          </w:p>
        </w:tc>
        <w:tc>
          <w:tcPr>
            <w:tcW w:w="1159"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3.2</w:t>
            </w:r>
          </w:p>
        </w:tc>
        <w:tc>
          <w:tcPr>
            <w:tcW w:w="644"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472</w:t>
            </w:r>
          </w:p>
        </w:tc>
        <w:tc>
          <w:tcPr>
            <w:tcW w:w="1353"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48.1</w:t>
            </w:r>
          </w:p>
        </w:tc>
        <w:tc>
          <w:tcPr>
            <w:tcW w:w="1290"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1.1</w:t>
            </w:r>
          </w:p>
        </w:tc>
      </w:tr>
      <w:tr>
        <w:trPr>
          <w:trHeight w:val="317"/>
          <w:jc w:val="center"/>
        </w:trPr>
        <w:tc>
          <w:tcPr>
            <w:tcW w:w="1550"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DT_WCPR_300</w:t>
            </w:r>
          </w:p>
        </w:tc>
        <w:tc>
          <w:tcPr>
            <w:tcW w:w="553"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300</w:t>
            </w:r>
          </w:p>
        </w:tc>
        <w:tc>
          <w:tcPr>
            <w:tcW w:w="589"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15</w:t>
            </w:r>
          </w:p>
        </w:tc>
        <w:tc>
          <w:tcPr>
            <w:tcW w:w="994"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2.22</w:t>
            </w:r>
          </w:p>
        </w:tc>
        <w:tc>
          <w:tcPr>
            <w:tcW w:w="6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59.59</w:t>
            </w:r>
          </w:p>
        </w:tc>
        <w:tc>
          <w:tcPr>
            <w:tcW w:w="6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36.49</w:t>
            </w:r>
          </w:p>
        </w:tc>
        <w:tc>
          <w:tcPr>
            <w:tcW w:w="5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1.70</w:t>
            </w:r>
          </w:p>
        </w:tc>
        <w:tc>
          <w:tcPr>
            <w:tcW w:w="6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62.13</w:t>
            </w:r>
          </w:p>
        </w:tc>
        <w:tc>
          <w:tcPr>
            <w:tcW w:w="5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4.89</w:t>
            </w:r>
          </w:p>
        </w:tc>
        <w:tc>
          <w:tcPr>
            <w:tcW w:w="5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28.5</w:t>
            </w:r>
          </w:p>
        </w:tc>
        <w:tc>
          <w:tcPr>
            <w:tcW w:w="5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0.17</w:t>
            </w:r>
          </w:p>
        </w:tc>
        <w:tc>
          <w:tcPr>
            <w:tcW w:w="5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0.44</w:t>
            </w:r>
          </w:p>
        </w:tc>
        <w:tc>
          <w:tcPr>
            <w:tcW w:w="1159"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2.9</w:t>
            </w:r>
          </w:p>
        </w:tc>
        <w:tc>
          <w:tcPr>
            <w:tcW w:w="644"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222</w:t>
            </w:r>
          </w:p>
        </w:tc>
        <w:tc>
          <w:tcPr>
            <w:tcW w:w="1353"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6.7</w:t>
            </w:r>
          </w:p>
        </w:tc>
        <w:tc>
          <w:tcPr>
            <w:tcW w:w="1290"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0.8</w:t>
            </w:r>
          </w:p>
        </w:tc>
      </w:tr>
      <w:tr>
        <w:trPr>
          <w:trHeight w:val="317"/>
          <w:jc w:val="center"/>
        </w:trPr>
        <w:tc>
          <w:tcPr>
            <w:tcW w:w="1550"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DT_WCPR_210</w:t>
            </w:r>
          </w:p>
        </w:tc>
        <w:tc>
          <w:tcPr>
            <w:tcW w:w="553"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210</w:t>
            </w:r>
          </w:p>
        </w:tc>
        <w:tc>
          <w:tcPr>
            <w:tcW w:w="589"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30</w:t>
            </w:r>
          </w:p>
        </w:tc>
        <w:tc>
          <w:tcPr>
            <w:tcW w:w="994"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1.13</w:t>
            </w:r>
          </w:p>
        </w:tc>
        <w:tc>
          <w:tcPr>
            <w:tcW w:w="6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79.30</w:t>
            </w:r>
          </w:p>
        </w:tc>
        <w:tc>
          <w:tcPr>
            <w:tcW w:w="6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15.44</w:t>
            </w:r>
          </w:p>
        </w:tc>
        <w:tc>
          <w:tcPr>
            <w:tcW w:w="5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4.14</w:t>
            </w:r>
          </w:p>
        </w:tc>
        <w:tc>
          <w:tcPr>
            <w:tcW w:w="6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50.49</w:t>
            </w:r>
          </w:p>
        </w:tc>
        <w:tc>
          <w:tcPr>
            <w:tcW w:w="5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5.91</w:t>
            </w:r>
          </w:p>
        </w:tc>
        <w:tc>
          <w:tcPr>
            <w:tcW w:w="5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37.8</w:t>
            </w:r>
          </w:p>
        </w:tc>
        <w:tc>
          <w:tcPr>
            <w:tcW w:w="5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0.16</w:t>
            </w:r>
          </w:p>
        </w:tc>
        <w:tc>
          <w:tcPr>
            <w:tcW w:w="5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0.39</w:t>
            </w:r>
          </w:p>
        </w:tc>
        <w:tc>
          <w:tcPr>
            <w:tcW w:w="1159"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644"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374</w:t>
            </w:r>
          </w:p>
        </w:tc>
        <w:tc>
          <w:tcPr>
            <w:tcW w:w="1353"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71.6</w:t>
            </w:r>
          </w:p>
        </w:tc>
        <w:tc>
          <w:tcPr>
            <w:tcW w:w="1290"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3.2</w:t>
            </w:r>
          </w:p>
        </w:tc>
      </w:tr>
      <w:tr>
        <w:trPr>
          <w:trHeight w:val="317"/>
          <w:jc w:val="center"/>
        </w:trPr>
        <w:tc>
          <w:tcPr>
            <w:tcW w:w="1550"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DT_WCPR_240</w:t>
            </w:r>
          </w:p>
        </w:tc>
        <w:tc>
          <w:tcPr>
            <w:tcW w:w="553"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240</w:t>
            </w:r>
          </w:p>
        </w:tc>
        <w:tc>
          <w:tcPr>
            <w:tcW w:w="589"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30</w:t>
            </w:r>
          </w:p>
        </w:tc>
        <w:tc>
          <w:tcPr>
            <w:tcW w:w="994"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1.65</w:t>
            </w:r>
          </w:p>
        </w:tc>
        <w:tc>
          <w:tcPr>
            <w:tcW w:w="6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78.99</w:t>
            </w:r>
          </w:p>
        </w:tc>
        <w:tc>
          <w:tcPr>
            <w:tcW w:w="6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17.46</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1.91</w:t>
            </w:r>
          </w:p>
        </w:tc>
        <w:tc>
          <w:tcPr>
            <w:tcW w:w="6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51.50</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5.81</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38.6</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0.13</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0.38</w:t>
            </w:r>
          </w:p>
        </w:tc>
        <w:tc>
          <w:tcPr>
            <w:tcW w:w="1159"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644"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288</w:t>
            </w:r>
          </w:p>
        </w:tc>
        <w:tc>
          <w:tcPr>
            <w:tcW w:w="1353"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64.5</w:t>
            </w:r>
          </w:p>
        </w:tc>
        <w:tc>
          <w:tcPr>
            <w:tcW w:w="1290"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2.7</w:t>
            </w:r>
          </w:p>
        </w:tc>
      </w:tr>
      <w:tr>
        <w:trPr>
          <w:trHeight w:val="317"/>
          <w:jc w:val="center"/>
        </w:trPr>
        <w:tc>
          <w:tcPr>
            <w:tcW w:w="1550"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DT_WCPR_270</w:t>
            </w:r>
          </w:p>
        </w:tc>
        <w:tc>
          <w:tcPr>
            <w:tcW w:w="553"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270</w:t>
            </w:r>
          </w:p>
        </w:tc>
        <w:tc>
          <w:tcPr>
            <w:tcW w:w="589"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30</w:t>
            </w:r>
          </w:p>
        </w:tc>
        <w:tc>
          <w:tcPr>
            <w:tcW w:w="994"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1.64</w:t>
            </w:r>
          </w:p>
        </w:tc>
        <w:tc>
          <w:tcPr>
            <w:tcW w:w="6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69.52</w:t>
            </w:r>
          </w:p>
        </w:tc>
        <w:tc>
          <w:tcPr>
            <w:tcW w:w="6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26.69</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2.15</w:t>
            </w:r>
          </w:p>
        </w:tc>
        <w:tc>
          <w:tcPr>
            <w:tcW w:w="6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55.38</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5.31</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34.9</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0.14</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0.43</w:t>
            </w:r>
          </w:p>
        </w:tc>
        <w:tc>
          <w:tcPr>
            <w:tcW w:w="1159"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644"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334</w:t>
            </w:r>
          </w:p>
        </w:tc>
        <w:tc>
          <w:tcPr>
            <w:tcW w:w="1353"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32.6</w:t>
            </w:r>
          </w:p>
        </w:tc>
        <w:tc>
          <w:tcPr>
            <w:tcW w:w="1290"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1.0</w:t>
            </w:r>
          </w:p>
        </w:tc>
      </w:tr>
      <w:tr>
        <w:trPr>
          <w:trHeight w:val="317"/>
          <w:jc w:val="center"/>
        </w:trPr>
        <w:tc>
          <w:tcPr>
            <w:tcW w:w="1550"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DT_WCPR_300</w:t>
            </w:r>
          </w:p>
        </w:tc>
        <w:tc>
          <w:tcPr>
            <w:tcW w:w="553"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300</w:t>
            </w:r>
          </w:p>
        </w:tc>
        <w:tc>
          <w:tcPr>
            <w:tcW w:w="589"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30</w:t>
            </w:r>
          </w:p>
        </w:tc>
        <w:tc>
          <w:tcPr>
            <w:tcW w:w="994"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1.42</w:t>
            </w:r>
          </w:p>
        </w:tc>
        <w:tc>
          <w:tcPr>
            <w:tcW w:w="6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56.09</w:t>
            </w:r>
          </w:p>
        </w:tc>
        <w:tc>
          <w:tcPr>
            <w:tcW w:w="6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38.16</w:t>
            </w:r>
          </w:p>
        </w:tc>
        <w:tc>
          <w:tcPr>
            <w:tcW w:w="5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4.33</w:t>
            </w:r>
          </w:p>
        </w:tc>
        <w:tc>
          <w:tcPr>
            <w:tcW w:w="6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64.17</w:t>
            </w:r>
          </w:p>
        </w:tc>
        <w:tc>
          <w:tcPr>
            <w:tcW w:w="5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4.77</w:t>
            </w:r>
          </w:p>
        </w:tc>
        <w:tc>
          <w:tcPr>
            <w:tcW w:w="5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24.6</w:t>
            </w:r>
          </w:p>
        </w:tc>
        <w:tc>
          <w:tcPr>
            <w:tcW w:w="5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0.19</w:t>
            </w:r>
          </w:p>
        </w:tc>
        <w:tc>
          <w:tcPr>
            <w:tcW w:w="5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0.54</w:t>
            </w:r>
          </w:p>
        </w:tc>
        <w:tc>
          <w:tcPr>
            <w:tcW w:w="1159"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2.5</w:t>
            </w:r>
          </w:p>
        </w:tc>
        <w:tc>
          <w:tcPr>
            <w:tcW w:w="644"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726</w:t>
            </w:r>
          </w:p>
        </w:tc>
        <w:tc>
          <w:tcPr>
            <w:tcW w:w="1353"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10.7</w:t>
            </w:r>
          </w:p>
        </w:tc>
        <w:tc>
          <w:tcPr>
            <w:tcW w:w="1290"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0.8</w:t>
            </w:r>
          </w:p>
        </w:tc>
      </w:tr>
      <w:tr>
        <w:trPr>
          <w:trHeight w:val="317"/>
          <w:jc w:val="center"/>
        </w:trPr>
        <w:tc>
          <w:tcPr>
            <w:tcW w:w="1550"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DT_WCPR_210</w:t>
            </w:r>
          </w:p>
        </w:tc>
        <w:tc>
          <w:tcPr>
            <w:tcW w:w="553"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210</w:t>
            </w:r>
          </w:p>
        </w:tc>
        <w:tc>
          <w:tcPr>
            <w:tcW w:w="589"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994"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1.44</w:t>
            </w:r>
          </w:p>
        </w:tc>
        <w:tc>
          <w:tcPr>
            <w:tcW w:w="6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81.02</w:t>
            </w:r>
          </w:p>
        </w:tc>
        <w:tc>
          <w:tcPr>
            <w:tcW w:w="6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15.96</w:t>
            </w:r>
          </w:p>
        </w:tc>
        <w:tc>
          <w:tcPr>
            <w:tcW w:w="5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1.58</w:t>
            </w:r>
          </w:p>
        </w:tc>
        <w:tc>
          <w:tcPr>
            <w:tcW w:w="6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50.32</w:t>
            </w:r>
          </w:p>
        </w:tc>
        <w:tc>
          <w:tcPr>
            <w:tcW w:w="5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5.83</w:t>
            </w:r>
          </w:p>
        </w:tc>
        <w:tc>
          <w:tcPr>
            <w:tcW w:w="5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40.3</w:t>
            </w:r>
          </w:p>
        </w:tc>
        <w:tc>
          <w:tcPr>
            <w:tcW w:w="5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0.14</w:t>
            </w:r>
          </w:p>
        </w:tc>
        <w:tc>
          <w:tcPr>
            <w:tcW w:w="566"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0.43</w:t>
            </w:r>
          </w:p>
        </w:tc>
        <w:tc>
          <w:tcPr>
            <w:tcW w:w="1159"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4.3</w:t>
            </w:r>
          </w:p>
        </w:tc>
        <w:tc>
          <w:tcPr>
            <w:tcW w:w="644"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225</w:t>
            </w:r>
          </w:p>
        </w:tc>
        <w:tc>
          <w:tcPr>
            <w:tcW w:w="1353"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71.2</w:t>
            </w:r>
          </w:p>
        </w:tc>
        <w:tc>
          <w:tcPr>
            <w:tcW w:w="1290" w:type="dxa"/>
            <w:tcBorders>
              <w:top w:val="single" w:sz="4" w:space="0" w:color="auto"/>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3.1</w:t>
            </w:r>
          </w:p>
        </w:tc>
      </w:tr>
      <w:tr>
        <w:trPr>
          <w:trHeight w:val="317"/>
          <w:jc w:val="center"/>
        </w:trPr>
        <w:tc>
          <w:tcPr>
            <w:tcW w:w="1550"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DT_WCPR_240</w:t>
            </w:r>
          </w:p>
        </w:tc>
        <w:tc>
          <w:tcPr>
            <w:tcW w:w="553"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240</w:t>
            </w:r>
          </w:p>
        </w:tc>
        <w:tc>
          <w:tcPr>
            <w:tcW w:w="589"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994"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1.75</w:t>
            </w:r>
          </w:p>
        </w:tc>
        <w:tc>
          <w:tcPr>
            <w:tcW w:w="6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78.19</w:t>
            </w:r>
          </w:p>
        </w:tc>
        <w:tc>
          <w:tcPr>
            <w:tcW w:w="6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18.14</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1.93</w:t>
            </w:r>
          </w:p>
        </w:tc>
        <w:tc>
          <w:tcPr>
            <w:tcW w:w="6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51.49</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5.62</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38.6</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0.14</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0.46</w:t>
            </w:r>
          </w:p>
        </w:tc>
        <w:tc>
          <w:tcPr>
            <w:tcW w:w="1159"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4.4</w:t>
            </w:r>
          </w:p>
        </w:tc>
        <w:tc>
          <w:tcPr>
            <w:tcW w:w="644"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256</w:t>
            </w:r>
          </w:p>
        </w:tc>
        <w:tc>
          <w:tcPr>
            <w:tcW w:w="1353"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61.4</w:t>
            </w:r>
          </w:p>
        </w:tc>
        <w:tc>
          <w:tcPr>
            <w:tcW w:w="1290"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2.5</w:t>
            </w:r>
          </w:p>
        </w:tc>
      </w:tr>
      <w:tr>
        <w:trPr>
          <w:trHeight w:val="317"/>
          <w:jc w:val="center"/>
        </w:trPr>
        <w:tc>
          <w:tcPr>
            <w:tcW w:w="1550"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DT_WCPR_270</w:t>
            </w:r>
          </w:p>
        </w:tc>
        <w:tc>
          <w:tcPr>
            <w:tcW w:w="553"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270</w:t>
            </w:r>
          </w:p>
        </w:tc>
        <w:tc>
          <w:tcPr>
            <w:tcW w:w="589"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994"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1.82</w:t>
            </w:r>
          </w:p>
        </w:tc>
        <w:tc>
          <w:tcPr>
            <w:tcW w:w="6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66.64</w:t>
            </w:r>
          </w:p>
        </w:tc>
        <w:tc>
          <w:tcPr>
            <w:tcW w:w="6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29.59</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1.94</w:t>
            </w:r>
          </w:p>
        </w:tc>
        <w:tc>
          <w:tcPr>
            <w:tcW w:w="6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58.03</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5.10</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32.4</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0.15</w:t>
            </w:r>
          </w:p>
        </w:tc>
        <w:tc>
          <w:tcPr>
            <w:tcW w:w="566"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0.55</w:t>
            </w:r>
          </w:p>
        </w:tc>
        <w:tc>
          <w:tcPr>
            <w:tcW w:w="1159"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644"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362</w:t>
            </w:r>
          </w:p>
        </w:tc>
        <w:tc>
          <w:tcPr>
            <w:tcW w:w="1353"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28.0</w:t>
            </w:r>
          </w:p>
        </w:tc>
        <w:tc>
          <w:tcPr>
            <w:tcW w:w="1290" w:type="dxa"/>
            <w:tcBorders>
              <w:top w:val="nil"/>
              <w:left w:val="nil"/>
              <w:bottom w:val="nil"/>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1.1</w:t>
            </w:r>
          </w:p>
        </w:tc>
      </w:tr>
      <w:tr>
        <w:trPr>
          <w:trHeight w:val="317"/>
          <w:jc w:val="center"/>
        </w:trPr>
        <w:tc>
          <w:tcPr>
            <w:tcW w:w="1550"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DT_WCPR_300</w:t>
            </w:r>
          </w:p>
        </w:tc>
        <w:tc>
          <w:tcPr>
            <w:tcW w:w="553"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300</w:t>
            </w:r>
          </w:p>
        </w:tc>
        <w:tc>
          <w:tcPr>
            <w:tcW w:w="589"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994"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1.55</w:t>
            </w:r>
          </w:p>
        </w:tc>
        <w:tc>
          <w:tcPr>
            <w:tcW w:w="6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51.82</w:t>
            </w:r>
          </w:p>
        </w:tc>
        <w:tc>
          <w:tcPr>
            <w:tcW w:w="6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40.93</w:t>
            </w:r>
          </w:p>
        </w:tc>
        <w:tc>
          <w:tcPr>
            <w:tcW w:w="5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5.70</w:t>
            </w:r>
          </w:p>
        </w:tc>
        <w:tc>
          <w:tcPr>
            <w:tcW w:w="6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65.25</w:t>
            </w:r>
          </w:p>
        </w:tc>
        <w:tc>
          <w:tcPr>
            <w:tcW w:w="5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4.49</w:t>
            </w:r>
          </w:p>
        </w:tc>
        <w:tc>
          <w:tcPr>
            <w:tcW w:w="5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22.1</w:t>
            </w:r>
          </w:p>
        </w:tc>
        <w:tc>
          <w:tcPr>
            <w:tcW w:w="5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0.17</w:t>
            </w:r>
          </w:p>
        </w:tc>
        <w:tc>
          <w:tcPr>
            <w:tcW w:w="566"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0.70</w:t>
            </w:r>
          </w:p>
        </w:tc>
        <w:tc>
          <w:tcPr>
            <w:tcW w:w="1159"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2.6</w:t>
            </w:r>
          </w:p>
        </w:tc>
        <w:tc>
          <w:tcPr>
            <w:tcW w:w="644"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215</w:t>
            </w:r>
          </w:p>
        </w:tc>
        <w:tc>
          <w:tcPr>
            <w:tcW w:w="1353"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10.1</w:t>
            </w:r>
          </w:p>
        </w:tc>
        <w:tc>
          <w:tcPr>
            <w:tcW w:w="1290" w:type="dxa"/>
            <w:tcBorders>
              <w:top w:val="nil"/>
              <w:left w:val="nil"/>
              <w:bottom w:val="single" w:sz="4" w:space="0" w:color="auto"/>
              <w:right w:val="nil"/>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rPr>
              <w:t>0.7</w:t>
            </w:r>
          </w:p>
        </w:tc>
      </w:tr>
    </w:tbl>
    <w:p>
      <w:pPr>
        <w:spacing w:after="0" w:line="480" w:lineRule="auto"/>
        <w:jc w:val="both"/>
        <w:rPr>
          <w:rFonts w:ascii="Times New Roman" w:hAnsi="Times New Roman" w:cs="Times New Roman"/>
          <w:iCs/>
          <w:sz w:val="20"/>
          <w:szCs w:val="20"/>
          <w:lang w:val="en-GB"/>
        </w:rPr>
      </w:pPr>
      <w:bookmarkStart w:id="4" w:name="_Hlk148614854"/>
      <w:r>
        <w:rPr>
          <w:rFonts w:ascii="Times New Roman" w:hAnsi="Times New Roman" w:cs="Times New Roman"/>
          <w:iCs/>
          <w:sz w:val="20"/>
          <w:szCs w:val="20"/>
          <w:vertAlign w:val="superscript"/>
        </w:rPr>
        <w:t>1</w:t>
      </w:r>
      <w:r>
        <w:rPr>
          <w:rFonts w:ascii="Times New Roman" w:hAnsi="Times New Roman" w:cs="Times New Roman"/>
          <w:iCs/>
          <w:sz w:val="20"/>
          <w:szCs w:val="20"/>
          <w:lang w:val="en-GB"/>
        </w:rPr>
        <w:t xml:space="preserve">VM – volatile matter, </w:t>
      </w:r>
      <w:r>
        <w:rPr>
          <w:rFonts w:ascii="Times New Roman" w:hAnsi="Times New Roman" w:cs="Times New Roman"/>
          <w:iCs/>
          <w:sz w:val="20"/>
          <w:szCs w:val="20"/>
          <w:vertAlign w:val="superscript"/>
          <w:lang w:val="en-GB"/>
        </w:rPr>
        <w:t>2</w:t>
      </w:r>
      <w:r>
        <w:rPr>
          <w:rFonts w:ascii="Times New Roman" w:hAnsi="Times New Roman" w:cs="Times New Roman"/>
          <w:iCs/>
          <w:sz w:val="20"/>
          <w:szCs w:val="20"/>
          <w:lang w:val="en-GB"/>
        </w:rPr>
        <w:t xml:space="preserve">FC – fixed carbon, </w:t>
      </w:r>
      <w:r>
        <w:rPr>
          <w:rFonts w:ascii="Times New Roman" w:hAnsi="Times New Roman" w:cs="Times New Roman"/>
          <w:iCs/>
          <w:sz w:val="20"/>
          <w:szCs w:val="20"/>
          <w:vertAlign w:val="superscript"/>
          <w:lang w:val="en-GB"/>
        </w:rPr>
        <w:t>3</w:t>
      </w:r>
      <w:r>
        <w:rPr>
          <w:rFonts w:ascii="Times New Roman" w:hAnsi="Times New Roman" w:cs="Times New Roman"/>
          <w:iCs/>
          <w:sz w:val="20"/>
          <w:szCs w:val="20"/>
          <w:lang w:val="en-GB"/>
        </w:rPr>
        <w:t>PD – Average pore diameter measured from the desorption branch according to the BJH method.</w:t>
      </w:r>
    </w:p>
    <w:bookmarkEnd w:id="4"/>
    <w:p>
      <w:pPr>
        <w:rPr>
          <w:rFonts w:ascii="Times New Roman" w:hAnsi="Times New Roman" w:cs="Times New Roman"/>
          <w:iCs/>
          <w:sz w:val="24"/>
          <w:szCs w:val="24"/>
          <w:highlight w:val="yellow"/>
          <w:lang w:val="en-GB"/>
        </w:rPr>
      </w:pPr>
      <w:r>
        <w:rPr>
          <w:rFonts w:ascii="Times New Roman" w:hAnsi="Times New Roman" w:cs="Times New Roman"/>
          <w:iCs/>
          <w:sz w:val="24"/>
          <w:szCs w:val="24"/>
          <w:highlight w:val="yellow"/>
          <w:lang w:val="en-GB"/>
        </w:rPr>
        <w:br w:type="page"/>
      </w:r>
    </w:p>
    <w:p>
      <w:pPr>
        <w:spacing w:after="0" w:line="480" w:lineRule="auto"/>
        <w:jc w:val="both"/>
        <w:rPr>
          <w:rFonts w:ascii="Times New Roman" w:hAnsi="Times New Roman" w:cs="Times New Roman"/>
          <w:iCs/>
          <w:sz w:val="24"/>
          <w:szCs w:val="24"/>
        </w:rPr>
      </w:pPr>
      <w:r>
        <w:rPr>
          <w:rFonts w:ascii="Times New Roman" w:hAnsi="Times New Roman" w:cs="Times New Roman"/>
          <w:b/>
          <w:bCs/>
          <w:iCs/>
          <w:sz w:val="24"/>
          <w:szCs w:val="24"/>
          <w:lang w:val="en-GB"/>
        </w:rPr>
        <w:lastRenderedPageBreak/>
        <w:t>Table S3.</w:t>
      </w:r>
      <w:r>
        <w:rPr>
          <w:rFonts w:ascii="Times New Roman" w:hAnsi="Times New Roman" w:cs="Times New Roman"/>
          <w:iCs/>
          <w:sz w:val="24"/>
          <w:szCs w:val="24"/>
          <w:lang w:val="en-GB"/>
        </w:rPr>
        <w:t xml:space="preserve"> </w:t>
      </w:r>
      <w:bookmarkStart w:id="5" w:name="_Hlk148615500"/>
      <w:r>
        <w:rPr>
          <w:rFonts w:ascii="Times New Roman" w:hAnsi="Times New Roman" w:cs="Times New Roman"/>
          <w:iCs/>
          <w:sz w:val="24"/>
          <w:szCs w:val="24"/>
          <w:lang w:val="en-GB"/>
        </w:rPr>
        <w:t>HHV, solid yield, carbon yield, hydrogen yield, energy yield, DC, DH, DO, ARE, CE, enhancement factor and atomic ratios of the DT of WCPR samples as compared to the WCPR.</w:t>
      </w:r>
      <w:bookmarkEnd w:id="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1"/>
        <w:gridCol w:w="539"/>
        <w:gridCol w:w="574"/>
        <w:gridCol w:w="772"/>
        <w:gridCol w:w="817"/>
        <w:gridCol w:w="947"/>
        <w:gridCol w:w="1147"/>
        <w:gridCol w:w="951"/>
        <w:gridCol w:w="657"/>
        <w:gridCol w:w="668"/>
        <w:gridCol w:w="668"/>
        <w:gridCol w:w="754"/>
        <w:gridCol w:w="566"/>
        <w:gridCol w:w="584"/>
        <w:gridCol w:w="584"/>
        <w:gridCol w:w="566"/>
        <w:gridCol w:w="615"/>
      </w:tblGrid>
      <w:tr>
        <w:trPr>
          <w:trHeight w:val="477"/>
          <w:jc w:val="center"/>
        </w:trPr>
        <w:tc>
          <w:tcPr>
            <w:tcW w:w="0" w:type="auto"/>
            <w:vMerge w:val="restart"/>
            <w:tcBorders>
              <w:top w:val="single" w:sz="4" w:space="0" w:color="auto"/>
              <w:bottom w:val="single" w:sz="4" w:space="0" w:color="auto"/>
            </w:tcBorders>
            <w:vAlign w:val="center"/>
          </w:tcPr>
          <w:p>
            <w:pPr>
              <w:spacing w:line="360" w:lineRule="auto"/>
              <w:jc w:val="center"/>
              <w:rPr>
                <w:rFonts w:ascii="Times New Roman" w:hAnsi="Times New Roman" w:cs="Times New Roman"/>
                <w:b/>
                <w:bCs/>
                <w:sz w:val="20"/>
                <w:szCs w:val="20"/>
                <w:lang w:val="en-GB"/>
              </w:rPr>
            </w:pPr>
            <w:bookmarkStart w:id="6" w:name="_Hlk148357946"/>
            <w:r>
              <w:rPr>
                <w:rFonts w:ascii="Times New Roman" w:hAnsi="Times New Roman" w:cs="Times New Roman"/>
                <w:b/>
                <w:bCs/>
                <w:sz w:val="20"/>
                <w:szCs w:val="20"/>
                <w:lang w:val="en-GB"/>
              </w:rPr>
              <w:t>Samples</w:t>
            </w:r>
          </w:p>
        </w:tc>
        <w:tc>
          <w:tcPr>
            <w:tcW w:w="0" w:type="auto"/>
            <w:vMerge w:val="restart"/>
            <w:tcBorders>
              <w:top w:val="single" w:sz="4" w:space="0" w:color="auto"/>
              <w:bottom w:val="single" w:sz="4" w:space="0" w:color="auto"/>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T, °C</w:t>
            </w:r>
          </w:p>
        </w:tc>
        <w:tc>
          <w:tcPr>
            <w:tcW w:w="0" w:type="auto"/>
            <w:vMerge w:val="restart"/>
            <w:tcBorders>
              <w:top w:val="single" w:sz="4" w:space="0" w:color="auto"/>
              <w:bottom w:val="single" w:sz="4" w:space="0" w:color="auto"/>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t, min</w:t>
            </w:r>
          </w:p>
        </w:tc>
        <w:tc>
          <w:tcPr>
            <w:tcW w:w="0" w:type="auto"/>
            <w:vMerge w:val="restart"/>
            <w:tcBorders>
              <w:top w:val="single" w:sz="4" w:space="0" w:color="auto"/>
              <w:bottom w:val="single" w:sz="4" w:space="0" w:color="auto"/>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HHV,</w:t>
            </w:r>
          </w:p>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MJ/kg</w:t>
            </w:r>
          </w:p>
        </w:tc>
        <w:tc>
          <w:tcPr>
            <w:tcW w:w="0" w:type="auto"/>
            <w:vMerge w:val="restart"/>
            <w:tcBorders>
              <w:top w:val="single" w:sz="4" w:space="0" w:color="auto"/>
              <w:bottom w:val="single" w:sz="4" w:space="0" w:color="auto"/>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 xml:space="preserve">Solid yield, </w:t>
            </w:r>
            <w:proofErr w:type="spellStart"/>
            <w:r>
              <w:rPr>
                <w:rFonts w:ascii="Times New Roman" w:hAnsi="Times New Roman" w:cs="Times New Roman"/>
                <w:b/>
                <w:bCs/>
                <w:sz w:val="20"/>
                <w:szCs w:val="20"/>
                <w:lang w:val="en-GB"/>
              </w:rPr>
              <w:t>wt</w:t>
            </w:r>
            <w:proofErr w:type="spellEnd"/>
            <w:r>
              <w:rPr>
                <w:rFonts w:ascii="Times New Roman" w:hAnsi="Times New Roman" w:cs="Times New Roman"/>
                <w:b/>
                <w:bCs/>
                <w:sz w:val="20"/>
                <w:szCs w:val="20"/>
                <w:lang w:val="en-GB"/>
              </w:rPr>
              <w:t>%</w:t>
            </w:r>
          </w:p>
        </w:tc>
        <w:tc>
          <w:tcPr>
            <w:tcW w:w="0" w:type="auto"/>
            <w:vMerge w:val="restart"/>
            <w:tcBorders>
              <w:top w:val="single" w:sz="4" w:space="0" w:color="auto"/>
              <w:bottom w:val="single" w:sz="4" w:space="0" w:color="auto"/>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Carbon yield,</w:t>
            </w:r>
          </w:p>
          <w:p>
            <w:pPr>
              <w:spacing w:line="360" w:lineRule="auto"/>
              <w:jc w:val="center"/>
              <w:rPr>
                <w:rFonts w:ascii="Times New Roman" w:hAnsi="Times New Roman" w:cs="Times New Roman"/>
                <w:b/>
                <w:bCs/>
                <w:sz w:val="20"/>
                <w:szCs w:val="20"/>
                <w:lang w:val="en-GB"/>
              </w:rPr>
            </w:pPr>
            <w:proofErr w:type="spellStart"/>
            <w:r>
              <w:rPr>
                <w:rFonts w:ascii="Times New Roman" w:hAnsi="Times New Roman" w:cs="Times New Roman"/>
                <w:b/>
                <w:bCs/>
                <w:sz w:val="20"/>
                <w:szCs w:val="20"/>
                <w:lang w:val="en-GB"/>
              </w:rPr>
              <w:t>wt</w:t>
            </w:r>
            <w:proofErr w:type="spellEnd"/>
            <w:r>
              <w:rPr>
                <w:rFonts w:ascii="Times New Roman" w:hAnsi="Times New Roman" w:cs="Times New Roman"/>
                <w:b/>
                <w:bCs/>
                <w:sz w:val="20"/>
                <w:szCs w:val="20"/>
                <w:lang w:val="en-GB"/>
              </w:rPr>
              <w:t>%</w:t>
            </w:r>
          </w:p>
        </w:tc>
        <w:tc>
          <w:tcPr>
            <w:tcW w:w="0" w:type="auto"/>
            <w:vMerge w:val="restart"/>
            <w:tcBorders>
              <w:top w:val="single" w:sz="4" w:space="0" w:color="auto"/>
              <w:bottom w:val="single" w:sz="4" w:space="0" w:color="auto"/>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Hydrogen yield,</w:t>
            </w:r>
          </w:p>
          <w:p>
            <w:pPr>
              <w:spacing w:line="360" w:lineRule="auto"/>
              <w:jc w:val="center"/>
              <w:rPr>
                <w:rFonts w:ascii="Times New Roman" w:hAnsi="Times New Roman" w:cs="Times New Roman"/>
                <w:b/>
                <w:bCs/>
                <w:sz w:val="20"/>
                <w:szCs w:val="20"/>
                <w:lang w:val="en-GB"/>
              </w:rPr>
            </w:pPr>
            <w:proofErr w:type="spellStart"/>
            <w:r>
              <w:rPr>
                <w:rFonts w:ascii="Times New Roman" w:hAnsi="Times New Roman" w:cs="Times New Roman"/>
                <w:b/>
                <w:bCs/>
                <w:sz w:val="20"/>
                <w:szCs w:val="20"/>
                <w:lang w:val="en-GB"/>
              </w:rPr>
              <w:t>wt</w:t>
            </w:r>
            <w:proofErr w:type="spellEnd"/>
            <w:r>
              <w:rPr>
                <w:rFonts w:ascii="Times New Roman" w:hAnsi="Times New Roman" w:cs="Times New Roman"/>
                <w:b/>
                <w:bCs/>
                <w:sz w:val="20"/>
                <w:szCs w:val="20"/>
                <w:lang w:val="en-GB"/>
              </w:rPr>
              <w:t>%</w:t>
            </w:r>
          </w:p>
        </w:tc>
        <w:tc>
          <w:tcPr>
            <w:tcW w:w="0" w:type="auto"/>
            <w:vMerge w:val="restart"/>
            <w:tcBorders>
              <w:top w:val="single" w:sz="4" w:space="0" w:color="auto"/>
              <w:bottom w:val="single" w:sz="4" w:space="0" w:color="auto"/>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Energy yield, %</w:t>
            </w:r>
          </w:p>
        </w:tc>
        <w:tc>
          <w:tcPr>
            <w:tcW w:w="0" w:type="auto"/>
            <w:vMerge w:val="restart"/>
            <w:tcBorders>
              <w:top w:val="single" w:sz="4" w:space="0" w:color="auto"/>
              <w:bottom w:val="single" w:sz="4" w:space="0" w:color="auto"/>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DC</w:t>
            </w:r>
            <w:r>
              <w:rPr>
                <w:rFonts w:ascii="Times New Roman" w:hAnsi="Times New Roman" w:cs="Times New Roman"/>
                <w:b/>
                <w:bCs/>
                <w:sz w:val="20"/>
                <w:szCs w:val="20"/>
                <w:vertAlign w:val="superscript"/>
                <w:lang w:val="en-GB"/>
              </w:rPr>
              <w:t>1</w:t>
            </w:r>
            <w:r>
              <w:rPr>
                <w:rFonts w:ascii="Times New Roman" w:hAnsi="Times New Roman" w:cs="Times New Roman"/>
                <w:b/>
                <w:bCs/>
                <w:sz w:val="20"/>
                <w:szCs w:val="20"/>
                <w:lang w:val="en-GB"/>
              </w:rPr>
              <w:t>, %</w:t>
            </w:r>
          </w:p>
        </w:tc>
        <w:tc>
          <w:tcPr>
            <w:tcW w:w="0" w:type="auto"/>
            <w:vMerge w:val="restart"/>
            <w:tcBorders>
              <w:top w:val="single" w:sz="4" w:space="0" w:color="auto"/>
              <w:bottom w:val="single" w:sz="4" w:space="0" w:color="auto"/>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DH</w:t>
            </w:r>
            <w:r>
              <w:rPr>
                <w:rFonts w:ascii="Times New Roman" w:hAnsi="Times New Roman" w:cs="Times New Roman"/>
                <w:b/>
                <w:bCs/>
                <w:sz w:val="20"/>
                <w:szCs w:val="20"/>
                <w:vertAlign w:val="superscript"/>
                <w:lang w:val="en-GB"/>
              </w:rPr>
              <w:t>2</w:t>
            </w:r>
            <w:r>
              <w:rPr>
                <w:rFonts w:ascii="Times New Roman" w:hAnsi="Times New Roman" w:cs="Times New Roman"/>
                <w:b/>
                <w:bCs/>
                <w:sz w:val="20"/>
                <w:szCs w:val="20"/>
                <w:lang w:val="en-GB"/>
              </w:rPr>
              <w:t>, %</w:t>
            </w:r>
          </w:p>
        </w:tc>
        <w:tc>
          <w:tcPr>
            <w:tcW w:w="0" w:type="auto"/>
            <w:vMerge w:val="restart"/>
            <w:tcBorders>
              <w:top w:val="single" w:sz="4" w:space="0" w:color="auto"/>
              <w:bottom w:val="single" w:sz="4" w:space="0" w:color="auto"/>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DO</w:t>
            </w:r>
            <w:r>
              <w:rPr>
                <w:rFonts w:ascii="Times New Roman" w:hAnsi="Times New Roman" w:cs="Times New Roman"/>
                <w:b/>
                <w:bCs/>
                <w:sz w:val="20"/>
                <w:szCs w:val="20"/>
                <w:vertAlign w:val="superscript"/>
                <w:lang w:val="en-GB"/>
              </w:rPr>
              <w:t>3</w:t>
            </w:r>
            <w:r>
              <w:rPr>
                <w:rFonts w:ascii="Times New Roman" w:hAnsi="Times New Roman" w:cs="Times New Roman"/>
                <w:b/>
                <w:bCs/>
                <w:sz w:val="20"/>
                <w:szCs w:val="20"/>
                <w:lang w:val="en-GB"/>
              </w:rPr>
              <w:t>, %</w:t>
            </w:r>
          </w:p>
        </w:tc>
        <w:tc>
          <w:tcPr>
            <w:tcW w:w="0" w:type="auto"/>
            <w:vMerge w:val="restart"/>
            <w:tcBorders>
              <w:top w:val="single" w:sz="4" w:space="0" w:color="auto"/>
              <w:bottom w:val="single" w:sz="4" w:space="0" w:color="auto"/>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ARE</w:t>
            </w:r>
            <w:r>
              <w:rPr>
                <w:rFonts w:ascii="Times New Roman" w:hAnsi="Times New Roman" w:cs="Times New Roman"/>
                <w:b/>
                <w:bCs/>
                <w:sz w:val="20"/>
                <w:szCs w:val="20"/>
                <w:vertAlign w:val="superscript"/>
                <w:lang w:val="en-GB"/>
              </w:rPr>
              <w:t>4</w:t>
            </w:r>
            <w:r>
              <w:rPr>
                <w:rFonts w:ascii="Times New Roman" w:hAnsi="Times New Roman" w:cs="Times New Roman"/>
                <w:b/>
                <w:bCs/>
                <w:sz w:val="20"/>
                <w:szCs w:val="20"/>
                <w:lang w:val="en-GB"/>
              </w:rPr>
              <w:t>,</w:t>
            </w:r>
          </w:p>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w:t>
            </w:r>
          </w:p>
        </w:tc>
        <w:tc>
          <w:tcPr>
            <w:tcW w:w="0" w:type="auto"/>
            <w:vMerge w:val="restart"/>
            <w:tcBorders>
              <w:top w:val="single" w:sz="4" w:space="0" w:color="auto"/>
              <w:bottom w:val="single" w:sz="4" w:space="0" w:color="auto"/>
            </w:tcBorders>
            <w:vAlign w:val="center"/>
          </w:tcPr>
          <w:p>
            <w:pPr>
              <w:spacing w:line="360" w:lineRule="auto"/>
              <w:jc w:val="center"/>
              <w:rPr>
                <w:rFonts w:ascii="Times New Roman" w:hAnsi="Times New Roman" w:cs="Times New Roman"/>
                <w:b/>
                <w:bCs/>
                <w:sz w:val="20"/>
                <w:szCs w:val="20"/>
                <w:vertAlign w:val="superscript"/>
                <w:lang w:val="en-GB"/>
              </w:rPr>
            </w:pPr>
            <w:r>
              <w:rPr>
                <w:rFonts w:ascii="Times New Roman" w:hAnsi="Times New Roman" w:cs="Times New Roman"/>
                <w:b/>
                <w:bCs/>
                <w:sz w:val="20"/>
                <w:szCs w:val="20"/>
                <w:lang w:val="en-GB"/>
              </w:rPr>
              <w:t>EF</w:t>
            </w:r>
            <w:r>
              <w:rPr>
                <w:rFonts w:ascii="Times New Roman" w:hAnsi="Times New Roman" w:cs="Times New Roman"/>
                <w:b/>
                <w:bCs/>
                <w:sz w:val="20"/>
                <w:szCs w:val="20"/>
                <w:vertAlign w:val="superscript"/>
                <w:lang w:val="en-GB"/>
              </w:rPr>
              <w:t>5</w:t>
            </w:r>
          </w:p>
        </w:tc>
        <w:tc>
          <w:tcPr>
            <w:tcW w:w="0" w:type="auto"/>
            <w:gridSpan w:val="2"/>
            <w:tcBorders>
              <w:top w:val="single" w:sz="4" w:space="0" w:color="auto"/>
              <w:bottom w:val="single" w:sz="4" w:space="0" w:color="auto"/>
            </w:tcBorders>
            <w:vAlign w:val="center"/>
          </w:tcPr>
          <w:p>
            <w:pPr>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Atomic ratio</w:t>
            </w:r>
          </w:p>
        </w:tc>
        <w:tc>
          <w:tcPr>
            <w:tcW w:w="0" w:type="auto"/>
            <w:vMerge w:val="restart"/>
            <w:tcBorders>
              <w:top w:val="single" w:sz="4" w:space="0" w:color="auto"/>
              <w:bottom w:val="single" w:sz="4" w:space="0" w:color="auto"/>
            </w:tcBorders>
            <w:vAlign w:val="center"/>
          </w:tcPr>
          <w:p>
            <w:pPr>
              <w:spacing w:line="360" w:lineRule="auto"/>
              <w:jc w:val="center"/>
              <w:rPr>
                <w:rFonts w:ascii="Times New Roman" w:hAnsi="Times New Roman" w:cs="Times New Roman"/>
                <w:b/>
                <w:bCs/>
                <w:sz w:val="20"/>
                <w:szCs w:val="20"/>
                <w:vertAlign w:val="superscript"/>
              </w:rPr>
            </w:pPr>
            <w:r>
              <w:rPr>
                <w:rFonts w:ascii="Times New Roman" w:hAnsi="Times New Roman" w:cs="Times New Roman"/>
                <w:b/>
                <w:bCs/>
                <w:sz w:val="20"/>
                <w:szCs w:val="20"/>
              </w:rPr>
              <w:t>CE</w:t>
            </w:r>
            <w:r>
              <w:rPr>
                <w:rFonts w:ascii="Times New Roman" w:hAnsi="Times New Roman" w:cs="Times New Roman"/>
                <w:b/>
                <w:bCs/>
                <w:sz w:val="20"/>
                <w:szCs w:val="20"/>
                <w:vertAlign w:val="superscript"/>
              </w:rPr>
              <w:t>6</w:t>
            </w:r>
          </w:p>
        </w:tc>
        <w:tc>
          <w:tcPr>
            <w:tcW w:w="0" w:type="auto"/>
            <w:vMerge w:val="restart"/>
            <w:tcBorders>
              <w:top w:val="single" w:sz="4" w:space="0" w:color="auto"/>
              <w:bottom w:val="single" w:sz="4" w:space="0" w:color="auto"/>
            </w:tcBorders>
            <w:vAlign w:val="center"/>
          </w:tcPr>
          <w:p>
            <w:pPr>
              <w:spacing w:line="360" w:lineRule="auto"/>
              <w:jc w:val="center"/>
              <w:rPr>
                <w:rFonts w:ascii="Times New Roman" w:hAnsi="Times New Roman" w:cs="Times New Roman"/>
                <w:b/>
                <w:bCs/>
                <w:sz w:val="20"/>
                <w:szCs w:val="20"/>
                <w:vertAlign w:val="superscript"/>
              </w:rPr>
            </w:pPr>
            <w:r>
              <w:rPr>
                <w:rFonts w:ascii="Times New Roman" w:hAnsi="Times New Roman" w:cs="Times New Roman"/>
                <w:b/>
                <w:bCs/>
                <w:sz w:val="20"/>
                <w:szCs w:val="20"/>
              </w:rPr>
              <w:t>WL</w:t>
            </w:r>
            <w:r>
              <w:rPr>
                <w:rFonts w:ascii="Times New Roman" w:hAnsi="Times New Roman" w:cs="Times New Roman"/>
                <w:b/>
                <w:bCs/>
                <w:sz w:val="20"/>
                <w:szCs w:val="20"/>
                <w:vertAlign w:val="superscript"/>
              </w:rPr>
              <w:t>7</w:t>
            </w:r>
          </w:p>
        </w:tc>
      </w:tr>
      <w:tr>
        <w:trPr>
          <w:trHeight w:val="450"/>
          <w:jc w:val="center"/>
        </w:trPr>
        <w:tc>
          <w:tcPr>
            <w:tcW w:w="0" w:type="auto"/>
            <w:vMerge/>
            <w:tcBorders>
              <w:bottom w:val="single" w:sz="4" w:space="0" w:color="auto"/>
            </w:tcBorders>
            <w:vAlign w:val="center"/>
          </w:tcPr>
          <w:p>
            <w:pPr>
              <w:spacing w:line="360" w:lineRule="auto"/>
              <w:jc w:val="center"/>
              <w:rPr>
                <w:rFonts w:ascii="Times New Roman" w:hAnsi="Times New Roman" w:cs="Times New Roman"/>
                <w:b/>
                <w:bCs/>
                <w:sz w:val="20"/>
                <w:szCs w:val="20"/>
                <w:lang w:val="en-GB"/>
              </w:rPr>
            </w:pPr>
          </w:p>
        </w:tc>
        <w:tc>
          <w:tcPr>
            <w:tcW w:w="0" w:type="auto"/>
            <w:vMerge/>
            <w:tcBorders>
              <w:bottom w:val="single" w:sz="4" w:space="0" w:color="auto"/>
            </w:tcBorders>
            <w:vAlign w:val="center"/>
          </w:tcPr>
          <w:p>
            <w:pPr>
              <w:spacing w:line="360" w:lineRule="auto"/>
              <w:jc w:val="center"/>
              <w:rPr>
                <w:rFonts w:ascii="Times New Roman" w:hAnsi="Times New Roman" w:cs="Times New Roman"/>
                <w:b/>
                <w:bCs/>
                <w:sz w:val="20"/>
                <w:szCs w:val="20"/>
                <w:lang w:val="en-GB"/>
              </w:rPr>
            </w:pPr>
          </w:p>
        </w:tc>
        <w:tc>
          <w:tcPr>
            <w:tcW w:w="0" w:type="auto"/>
            <w:vMerge/>
            <w:tcBorders>
              <w:bottom w:val="single" w:sz="4" w:space="0" w:color="auto"/>
            </w:tcBorders>
            <w:vAlign w:val="center"/>
          </w:tcPr>
          <w:p>
            <w:pPr>
              <w:spacing w:line="360" w:lineRule="auto"/>
              <w:jc w:val="center"/>
              <w:rPr>
                <w:rFonts w:ascii="Times New Roman" w:hAnsi="Times New Roman" w:cs="Times New Roman"/>
                <w:b/>
                <w:bCs/>
                <w:sz w:val="20"/>
                <w:szCs w:val="20"/>
                <w:lang w:val="en-GB"/>
              </w:rPr>
            </w:pPr>
          </w:p>
        </w:tc>
        <w:tc>
          <w:tcPr>
            <w:tcW w:w="0" w:type="auto"/>
            <w:vMerge/>
            <w:tcBorders>
              <w:bottom w:val="single" w:sz="4" w:space="0" w:color="auto"/>
            </w:tcBorders>
            <w:vAlign w:val="center"/>
          </w:tcPr>
          <w:p>
            <w:pPr>
              <w:spacing w:line="360" w:lineRule="auto"/>
              <w:jc w:val="center"/>
              <w:rPr>
                <w:rFonts w:ascii="Times New Roman" w:hAnsi="Times New Roman" w:cs="Times New Roman"/>
                <w:b/>
                <w:bCs/>
                <w:sz w:val="20"/>
                <w:szCs w:val="20"/>
                <w:lang w:val="en-GB"/>
              </w:rPr>
            </w:pPr>
          </w:p>
        </w:tc>
        <w:tc>
          <w:tcPr>
            <w:tcW w:w="0" w:type="auto"/>
            <w:vMerge/>
            <w:tcBorders>
              <w:bottom w:val="single" w:sz="4" w:space="0" w:color="auto"/>
            </w:tcBorders>
            <w:vAlign w:val="center"/>
          </w:tcPr>
          <w:p>
            <w:pPr>
              <w:spacing w:line="360" w:lineRule="auto"/>
              <w:jc w:val="center"/>
              <w:rPr>
                <w:rFonts w:ascii="Times New Roman" w:hAnsi="Times New Roman" w:cs="Times New Roman"/>
                <w:b/>
                <w:bCs/>
                <w:sz w:val="20"/>
                <w:szCs w:val="20"/>
                <w:lang w:val="en-GB"/>
              </w:rPr>
            </w:pPr>
          </w:p>
        </w:tc>
        <w:tc>
          <w:tcPr>
            <w:tcW w:w="0" w:type="auto"/>
            <w:vMerge/>
            <w:tcBorders>
              <w:bottom w:val="single" w:sz="4" w:space="0" w:color="auto"/>
            </w:tcBorders>
            <w:vAlign w:val="center"/>
          </w:tcPr>
          <w:p>
            <w:pPr>
              <w:spacing w:line="360" w:lineRule="auto"/>
              <w:jc w:val="center"/>
              <w:rPr>
                <w:rFonts w:ascii="Times New Roman" w:hAnsi="Times New Roman" w:cs="Times New Roman"/>
                <w:b/>
                <w:bCs/>
                <w:sz w:val="20"/>
                <w:szCs w:val="20"/>
                <w:lang w:val="en-GB"/>
              </w:rPr>
            </w:pPr>
          </w:p>
        </w:tc>
        <w:tc>
          <w:tcPr>
            <w:tcW w:w="0" w:type="auto"/>
            <w:vMerge/>
            <w:tcBorders>
              <w:bottom w:val="single" w:sz="4" w:space="0" w:color="auto"/>
            </w:tcBorders>
            <w:vAlign w:val="center"/>
          </w:tcPr>
          <w:p>
            <w:pPr>
              <w:spacing w:line="360" w:lineRule="auto"/>
              <w:jc w:val="center"/>
              <w:rPr>
                <w:rFonts w:ascii="Times New Roman" w:hAnsi="Times New Roman" w:cs="Times New Roman"/>
                <w:b/>
                <w:bCs/>
                <w:sz w:val="20"/>
                <w:szCs w:val="20"/>
                <w:lang w:val="en-GB"/>
              </w:rPr>
            </w:pPr>
          </w:p>
        </w:tc>
        <w:tc>
          <w:tcPr>
            <w:tcW w:w="0" w:type="auto"/>
            <w:vMerge/>
            <w:tcBorders>
              <w:bottom w:val="single" w:sz="4" w:space="0" w:color="auto"/>
            </w:tcBorders>
            <w:vAlign w:val="center"/>
          </w:tcPr>
          <w:p>
            <w:pPr>
              <w:spacing w:line="360" w:lineRule="auto"/>
              <w:jc w:val="center"/>
              <w:rPr>
                <w:rFonts w:ascii="Times New Roman" w:hAnsi="Times New Roman" w:cs="Times New Roman"/>
                <w:b/>
                <w:bCs/>
                <w:sz w:val="20"/>
                <w:szCs w:val="20"/>
                <w:lang w:val="en-GB"/>
              </w:rPr>
            </w:pPr>
          </w:p>
        </w:tc>
        <w:tc>
          <w:tcPr>
            <w:tcW w:w="0" w:type="auto"/>
            <w:vMerge/>
            <w:tcBorders>
              <w:bottom w:val="single" w:sz="4" w:space="0" w:color="auto"/>
            </w:tcBorders>
            <w:vAlign w:val="center"/>
          </w:tcPr>
          <w:p>
            <w:pPr>
              <w:spacing w:line="360" w:lineRule="auto"/>
              <w:jc w:val="center"/>
              <w:rPr>
                <w:rFonts w:ascii="Times New Roman" w:hAnsi="Times New Roman" w:cs="Times New Roman"/>
                <w:b/>
                <w:bCs/>
                <w:sz w:val="20"/>
                <w:szCs w:val="20"/>
                <w:lang w:val="en-GB"/>
              </w:rPr>
            </w:pPr>
          </w:p>
        </w:tc>
        <w:tc>
          <w:tcPr>
            <w:tcW w:w="0" w:type="auto"/>
            <w:vMerge/>
            <w:tcBorders>
              <w:bottom w:val="single" w:sz="4" w:space="0" w:color="auto"/>
            </w:tcBorders>
            <w:vAlign w:val="center"/>
          </w:tcPr>
          <w:p>
            <w:pPr>
              <w:spacing w:line="360" w:lineRule="auto"/>
              <w:jc w:val="center"/>
              <w:rPr>
                <w:rFonts w:ascii="Times New Roman" w:hAnsi="Times New Roman" w:cs="Times New Roman"/>
                <w:b/>
                <w:bCs/>
                <w:sz w:val="20"/>
                <w:szCs w:val="20"/>
                <w:lang w:val="en-GB"/>
              </w:rPr>
            </w:pPr>
          </w:p>
        </w:tc>
        <w:tc>
          <w:tcPr>
            <w:tcW w:w="0" w:type="auto"/>
            <w:vMerge/>
            <w:tcBorders>
              <w:bottom w:val="single" w:sz="4" w:space="0" w:color="auto"/>
            </w:tcBorders>
            <w:vAlign w:val="center"/>
          </w:tcPr>
          <w:p>
            <w:pPr>
              <w:spacing w:line="360" w:lineRule="auto"/>
              <w:jc w:val="center"/>
              <w:rPr>
                <w:rFonts w:ascii="Times New Roman" w:hAnsi="Times New Roman" w:cs="Times New Roman"/>
                <w:b/>
                <w:bCs/>
                <w:sz w:val="20"/>
                <w:szCs w:val="20"/>
                <w:lang w:val="en-GB"/>
              </w:rPr>
            </w:pPr>
          </w:p>
        </w:tc>
        <w:tc>
          <w:tcPr>
            <w:tcW w:w="0" w:type="auto"/>
            <w:vMerge/>
            <w:tcBorders>
              <w:bottom w:val="single" w:sz="4" w:space="0" w:color="auto"/>
            </w:tcBorders>
            <w:vAlign w:val="center"/>
          </w:tcPr>
          <w:p>
            <w:pPr>
              <w:spacing w:line="360" w:lineRule="auto"/>
              <w:jc w:val="center"/>
              <w:rPr>
                <w:rFonts w:ascii="Times New Roman" w:hAnsi="Times New Roman" w:cs="Times New Roman"/>
                <w:b/>
                <w:bCs/>
                <w:sz w:val="20"/>
                <w:szCs w:val="20"/>
                <w:lang w:val="en-GB"/>
              </w:rPr>
            </w:pPr>
          </w:p>
        </w:tc>
        <w:tc>
          <w:tcPr>
            <w:tcW w:w="0" w:type="auto"/>
            <w:vMerge/>
            <w:tcBorders>
              <w:bottom w:val="single" w:sz="4" w:space="0" w:color="auto"/>
            </w:tcBorders>
            <w:vAlign w:val="center"/>
          </w:tcPr>
          <w:p>
            <w:pPr>
              <w:spacing w:line="360" w:lineRule="auto"/>
              <w:jc w:val="center"/>
              <w:rPr>
                <w:rFonts w:ascii="Times New Roman" w:hAnsi="Times New Roman" w:cs="Times New Roman"/>
                <w:b/>
                <w:bCs/>
                <w:sz w:val="20"/>
                <w:szCs w:val="20"/>
                <w:lang w:val="en-GB"/>
              </w:rPr>
            </w:pPr>
          </w:p>
        </w:tc>
        <w:tc>
          <w:tcPr>
            <w:tcW w:w="0" w:type="auto"/>
            <w:tcBorders>
              <w:top w:val="single" w:sz="4" w:space="0" w:color="auto"/>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b/>
                <w:bCs/>
                <w:sz w:val="20"/>
                <w:szCs w:val="20"/>
              </w:rPr>
              <w:t>O/C</w:t>
            </w:r>
          </w:p>
        </w:tc>
        <w:tc>
          <w:tcPr>
            <w:tcW w:w="0" w:type="auto"/>
            <w:tcBorders>
              <w:top w:val="single" w:sz="4" w:space="0" w:color="auto"/>
              <w:bottom w:val="single" w:sz="4" w:space="0" w:color="auto"/>
            </w:tcBorders>
            <w:vAlign w:val="center"/>
          </w:tcPr>
          <w:p>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H/C</w:t>
            </w:r>
          </w:p>
        </w:tc>
        <w:tc>
          <w:tcPr>
            <w:tcW w:w="0" w:type="auto"/>
            <w:vMerge/>
            <w:tcBorders>
              <w:bottom w:val="single" w:sz="4" w:space="0" w:color="auto"/>
            </w:tcBorders>
            <w:vAlign w:val="center"/>
          </w:tcPr>
          <w:p>
            <w:pPr>
              <w:spacing w:line="360" w:lineRule="auto"/>
              <w:jc w:val="center"/>
              <w:rPr>
                <w:rFonts w:ascii="Times New Roman" w:hAnsi="Times New Roman" w:cs="Times New Roman"/>
                <w:b/>
                <w:bCs/>
                <w:sz w:val="20"/>
                <w:szCs w:val="20"/>
              </w:rPr>
            </w:pPr>
          </w:p>
        </w:tc>
        <w:tc>
          <w:tcPr>
            <w:tcW w:w="0" w:type="auto"/>
            <w:vMerge/>
            <w:tcBorders>
              <w:bottom w:val="single" w:sz="4" w:space="0" w:color="auto"/>
            </w:tcBorders>
            <w:vAlign w:val="center"/>
          </w:tcPr>
          <w:p>
            <w:pPr>
              <w:spacing w:line="360" w:lineRule="auto"/>
              <w:jc w:val="center"/>
              <w:rPr>
                <w:rFonts w:ascii="Times New Roman" w:hAnsi="Times New Roman" w:cs="Times New Roman"/>
                <w:b/>
                <w:bCs/>
                <w:sz w:val="20"/>
                <w:szCs w:val="20"/>
              </w:rPr>
            </w:pPr>
          </w:p>
        </w:tc>
      </w:tr>
      <w:tr>
        <w:trPr>
          <w:jc w:val="center"/>
        </w:trPr>
        <w:tc>
          <w:tcPr>
            <w:tcW w:w="0" w:type="auto"/>
            <w:tcBorders>
              <w:top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WCPR</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19.2</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0.6</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lang w:val="en-GB"/>
              </w:rPr>
              <w:t>−</w:t>
            </w:r>
          </w:p>
        </w:tc>
      </w:tr>
      <w:tr>
        <w:trPr>
          <w:trHeight w:val="271"/>
          <w:jc w:val="center"/>
        </w:trPr>
        <w:tc>
          <w:tcPr>
            <w:tcW w:w="0" w:type="auto"/>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DT_WCPR_210</w:t>
            </w:r>
          </w:p>
        </w:tc>
        <w:tc>
          <w:tcPr>
            <w:tcW w:w="0" w:type="auto"/>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210</w:t>
            </w:r>
          </w:p>
        </w:tc>
        <w:tc>
          <w:tcPr>
            <w:tcW w:w="0" w:type="auto"/>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15</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19.9</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94.4</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97.9</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90.7</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97.9</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9.3</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15.5</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18.3</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1.04</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5.6</w:t>
            </w:r>
          </w:p>
        </w:tc>
      </w:tr>
      <w:tr>
        <w:trPr>
          <w:trHeight w:val="288"/>
          <w:jc w:val="center"/>
        </w:trPr>
        <w:tc>
          <w:tcPr>
            <w:tcW w:w="0" w:type="auto"/>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DT_WCPR_240</w:t>
            </w:r>
          </w:p>
        </w:tc>
        <w:tc>
          <w:tcPr>
            <w:tcW w:w="0" w:type="auto"/>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240</w:t>
            </w:r>
          </w:p>
        </w:tc>
        <w:tc>
          <w:tcPr>
            <w:tcW w:w="0" w:type="auto"/>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15</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19.7</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91.4</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94.1</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84.8</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93.8</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5.9</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15.2</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8.2</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12.5</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1.03</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0.6</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1.04</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8.6</w:t>
            </w:r>
          </w:p>
        </w:tc>
      </w:tr>
      <w:tr>
        <w:trPr>
          <w:trHeight w:val="265"/>
          <w:jc w:val="center"/>
        </w:trPr>
        <w:tc>
          <w:tcPr>
            <w:tcW w:w="0" w:type="auto"/>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DT_WCPR_270</w:t>
            </w:r>
          </w:p>
        </w:tc>
        <w:tc>
          <w:tcPr>
            <w:tcW w:w="0" w:type="auto"/>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270</w:t>
            </w:r>
          </w:p>
        </w:tc>
        <w:tc>
          <w:tcPr>
            <w:tcW w:w="0" w:type="auto"/>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15</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21.2</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81.1</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89.9</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71.8</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89.6</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10.1</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28.2</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27.3</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33.2</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1.11</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1.03</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18.9</w:t>
            </w:r>
          </w:p>
        </w:tc>
      </w:tr>
      <w:tr>
        <w:trPr>
          <w:trHeight w:val="282"/>
          <w:jc w:val="center"/>
        </w:trPr>
        <w:tc>
          <w:tcPr>
            <w:tcW w:w="0" w:type="auto"/>
            <w:tcBorders>
              <w:bottom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DT_WCPR_300</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300</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15</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24.6</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61.0</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78.5</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48.1</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78.1</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21.5</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51.9</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56.9</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45.4</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1.28</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0.3</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0.9</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1.11</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39.0</w:t>
            </w:r>
          </w:p>
        </w:tc>
      </w:tr>
      <w:tr>
        <w:trPr>
          <w:trHeight w:val="282"/>
          <w:jc w:val="center"/>
        </w:trPr>
        <w:tc>
          <w:tcPr>
            <w:tcW w:w="0" w:type="auto"/>
            <w:tcBorders>
              <w:top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DT_WCPR_210</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210</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30</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20.1</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94.3</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98.5</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89.9</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98.6</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10.1</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11.6</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16.3</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1.05</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0.6</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1.05</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5.7</w:t>
            </w:r>
          </w:p>
        </w:tc>
      </w:tr>
      <w:tr>
        <w:trPr>
          <w:trHeight w:val="282"/>
          <w:jc w:val="center"/>
        </w:trPr>
        <w:tc>
          <w:tcPr>
            <w:tcW w:w="0" w:type="auto"/>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DT_WCPR_240</w:t>
            </w:r>
          </w:p>
        </w:tc>
        <w:tc>
          <w:tcPr>
            <w:tcW w:w="0" w:type="auto"/>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240</w:t>
            </w:r>
          </w:p>
        </w:tc>
        <w:tc>
          <w:tcPr>
            <w:tcW w:w="0" w:type="auto"/>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30</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20.4</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89.0</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94.9</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83.4</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94.9</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5.1</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16.6</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14.7</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14.4</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1.07</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0.6</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1.07</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11.0</w:t>
            </w:r>
          </w:p>
        </w:tc>
      </w:tr>
      <w:tr>
        <w:trPr>
          <w:trHeight w:val="282"/>
          <w:jc w:val="center"/>
        </w:trPr>
        <w:tc>
          <w:tcPr>
            <w:tcW w:w="0" w:type="auto"/>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DT_WCPR_270</w:t>
            </w:r>
          </w:p>
        </w:tc>
        <w:tc>
          <w:tcPr>
            <w:tcW w:w="0" w:type="auto"/>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270</w:t>
            </w:r>
          </w:p>
        </w:tc>
        <w:tc>
          <w:tcPr>
            <w:tcW w:w="0" w:type="auto"/>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30</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21.9</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74.5</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85.4</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63.8</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85.0</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14.6</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36.2</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35.4</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37.6</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1.14</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1.15</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25.5</w:t>
            </w:r>
          </w:p>
        </w:tc>
      </w:tr>
      <w:tr>
        <w:trPr>
          <w:trHeight w:val="282"/>
          <w:jc w:val="center"/>
        </w:trPr>
        <w:tc>
          <w:tcPr>
            <w:tcW w:w="0" w:type="auto"/>
            <w:tcBorders>
              <w:bottom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DT_WCPR_300</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300</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30</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25.4</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57.2</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76.0</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44.0</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75.7</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24.0</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56.0</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65.1</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126.9</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1.32</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0.3</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0.9</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1.33</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42.8</w:t>
            </w:r>
          </w:p>
        </w:tc>
      </w:tr>
      <w:tr>
        <w:trPr>
          <w:trHeight w:val="282"/>
          <w:jc w:val="center"/>
        </w:trPr>
        <w:tc>
          <w:tcPr>
            <w:tcW w:w="0" w:type="auto"/>
            <w:tcBorders>
              <w:top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DT_WCPR_210</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210</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20.0</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93.6</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97.5</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88.0</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97.3</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12.0</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6.5</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7.0</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1.04</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0.6</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1.04</w:t>
            </w:r>
          </w:p>
        </w:tc>
        <w:tc>
          <w:tcPr>
            <w:tcW w:w="0" w:type="auto"/>
            <w:tcBorders>
              <w:top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6.4</w:t>
            </w:r>
          </w:p>
        </w:tc>
      </w:tr>
      <w:tr>
        <w:trPr>
          <w:trHeight w:val="282"/>
          <w:jc w:val="center"/>
        </w:trPr>
        <w:tc>
          <w:tcPr>
            <w:tcW w:w="0" w:type="auto"/>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DT_WCPR_240</w:t>
            </w:r>
          </w:p>
        </w:tc>
        <w:tc>
          <w:tcPr>
            <w:tcW w:w="0" w:type="auto"/>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240</w:t>
            </w:r>
          </w:p>
        </w:tc>
        <w:tc>
          <w:tcPr>
            <w:tcW w:w="0" w:type="auto"/>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20.4</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87.6</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93.3</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79.4</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93.0</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6.7</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20.6</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16.1</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16.4</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1.06</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0.6</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1.07</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12.4</w:t>
            </w:r>
          </w:p>
        </w:tc>
      </w:tr>
      <w:tr>
        <w:trPr>
          <w:trHeight w:val="282"/>
          <w:jc w:val="center"/>
        </w:trPr>
        <w:tc>
          <w:tcPr>
            <w:tcW w:w="0" w:type="auto"/>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DT_WCPR_270</w:t>
            </w:r>
          </w:p>
        </w:tc>
        <w:tc>
          <w:tcPr>
            <w:tcW w:w="0" w:type="auto"/>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270</w:t>
            </w:r>
          </w:p>
        </w:tc>
        <w:tc>
          <w:tcPr>
            <w:tcW w:w="0" w:type="auto"/>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22.9</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70.3</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84.5</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57.9</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83.9</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15.5</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42.1</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43.4</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39.4</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1.19</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0.4</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1.20</w:t>
            </w:r>
          </w:p>
        </w:tc>
        <w:tc>
          <w:tcPr>
            <w:tcW w:w="0" w:type="auto"/>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29.7</w:t>
            </w:r>
          </w:p>
        </w:tc>
      </w:tr>
      <w:tr>
        <w:trPr>
          <w:trHeight w:val="282"/>
          <w:jc w:val="center"/>
        </w:trPr>
        <w:tc>
          <w:tcPr>
            <w:tcW w:w="0" w:type="auto"/>
            <w:tcBorders>
              <w:bottom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DT_WCPR_300</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300</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25.6</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55.0</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74.3</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39.8</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73.3</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25.7</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60.2</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69.8</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175.8</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1.33</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0.3</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0.8</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1.35</w:t>
            </w:r>
          </w:p>
        </w:tc>
        <w:tc>
          <w:tcPr>
            <w:tcW w:w="0" w:type="auto"/>
            <w:tcBorders>
              <w:bottom w:val="single" w:sz="4" w:space="0" w:color="auto"/>
            </w:tcBorders>
            <w:vAlign w:val="center"/>
          </w:tcPr>
          <w:p>
            <w:pPr>
              <w:spacing w:line="360" w:lineRule="auto"/>
              <w:jc w:val="center"/>
              <w:rPr>
                <w:rFonts w:ascii="Times New Roman" w:hAnsi="Times New Roman" w:cs="Times New Roman"/>
                <w:sz w:val="20"/>
                <w:szCs w:val="20"/>
              </w:rPr>
            </w:pPr>
            <w:r>
              <w:rPr>
                <w:rFonts w:ascii="Times New Roman" w:hAnsi="Times New Roman" w:cs="Times New Roman"/>
                <w:sz w:val="20"/>
                <w:szCs w:val="20"/>
              </w:rPr>
              <w:t>45.0</w:t>
            </w:r>
          </w:p>
        </w:tc>
      </w:tr>
    </w:tbl>
    <w:p>
      <w:pPr>
        <w:spacing w:after="0" w:line="480" w:lineRule="auto"/>
        <w:jc w:val="both"/>
        <w:rPr>
          <w:rFonts w:ascii="Times New Roman" w:hAnsi="Times New Roman" w:cs="Times New Roman"/>
          <w:iCs/>
          <w:sz w:val="20"/>
          <w:szCs w:val="20"/>
          <w:lang w:val="en-GB"/>
        </w:rPr>
      </w:pPr>
      <w:bookmarkStart w:id="7" w:name="_Hlk148615052"/>
      <w:bookmarkStart w:id="8" w:name="_Hlk171617548"/>
      <w:bookmarkEnd w:id="6"/>
      <w:r>
        <w:rPr>
          <w:rFonts w:ascii="Times New Roman" w:hAnsi="Times New Roman" w:cs="Times New Roman"/>
          <w:iCs/>
          <w:sz w:val="20"/>
          <w:szCs w:val="20"/>
          <w:vertAlign w:val="superscript"/>
        </w:rPr>
        <w:t>1</w:t>
      </w:r>
      <w:r>
        <w:rPr>
          <w:rFonts w:ascii="Times New Roman" w:hAnsi="Times New Roman" w:cs="Times New Roman"/>
          <w:iCs/>
          <w:sz w:val="20"/>
          <w:szCs w:val="20"/>
        </w:rPr>
        <w:t>DC</w:t>
      </w:r>
      <w:r>
        <w:rPr>
          <w:rFonts w:ascii="Times New Roman" w:hAnsi="Times New Roman" w:cs="Times New Roman"/>
          <w:iCs/>
          <w:sz w:val="20"/>
          <w:szCs w:val="20"/>
          <w:lang w:val="en-GB"/>
        </w:rPr>
        <w:t xml:space="preserve"> – decarbonization, </w:t>
      </w:r>
      <w:r>
        <w:rPr>
          <w:rFonts w:ascii="Times New Roman" w:hAnsi="Times New Roman" w:cs="Times New Roman"/>
          <w:iCs/>
          <w:sz w:val="20"/>
          <w:szCs w:val="20"/>
          <w:vertAlign w:val="superscript"/>
          <w:lang w:val="en-GB"/>
        </w:rPr>
        <w:t>2</w:t>
      </w:r>
      <w:r>
        <w:rPr>
          <w:rFonts w:ascii="Times New Roman" w:hAnsi="Times New Roman" w:cs="Times New Roman"/>
          <w:iCs/>
          <w:sz w:val="20"/>
          <w:szCs w:val="20"/>
          <w:lang w:val="en-GB"/>
        </w:rPr>
        <w:t xml:space="preserve">DH – dehydrogenation, </w:t>
      </w:r>
      <w:r>
        <w:rPr>
          <w:rFonts w:ascii="Times New Roman" w:hAnsi="Times New Roman" w:cs="Times New Roman"/>
          <w:iCs/>
          <w:sz w:val="20"/>
          <w:szCs w:val="20"/>
          <w:vertAlign w:val="superscript"/>
          <w:lang w:val="en-GB"/>
        </w:rPr>
        <w:t>3</w:t>
      </w:r>
      <w:r>
        <w:rPr>
          <w:rFonts w:ascii="Times New Roman" w:hAnsi="Times New Roman" w:cs="Times New Roman"/>
          <w:iCs/>
          <w:sz w:val="20"/>
          <w:szCs w:val="20"/>
          <w:lang w:val="en-GB"/>
        </w:rPr>
        <w:t xml:space="preserve">DO – deoxygenation, </w:t>
      </w:r>
      <w:r>
        <w:rPr>
          <w:rFonts w:ascii="Times New Roman" w:hAnsi="Times New Roman" w:cs="Times New Roman"/>
          <w:iCs/>
          <w:sz w:val="20"/>
          <w:szCs w:val="20"/>
          <w:vertAlign w:val="superscript"/>
          <w:lang w:val="en-GB"/>
        </w:rPr>
        <w:t>4</w:t>
      </w:r>
      <w:r>
        <w:rPr>
          <w:rFonts w:ascii="Times New Roman" w:hAnsi="Times New Roman" w:cs="Times New Roman"/>
          <w:iCs/>
          <w:sz w:val="20"/>
          <w:szCs w:val="20"/>
          <w:lang w:val="en-GB"/>
        </w:rPr>
        <w:t xml:space="preserve">ARE – ash removal efficiency, </w:t>
      </w:r>
      <w:r>
        <w:rPr>
          <w:rFonts w:ascii="Times New Roman" w:hAnsi="Times New Roman" w:cs="Times New Roman"/>
          <w:iCs/>
          <w:sz w:val="20"/>
          <w:szCs w:val="20"/>
          <w:vertAlign w:val="superscript"/>
          <w:lang w:val="en-GB"/>
        </w:rPr>
        <w:t>5</w:t>
      </w:r>
      <w:r>
        <w:rPr>
          <w:rFonts w:ascii="Times New Roman" w:hAnsi="Times New Roman" w:cs="Times New Roman"/>
          <w:iCs/>
          <w:sz w:val="20"/>
          <w:szCs w:val="20"/>
          <w:lang w:val="en-GB"/>
        </w:rPr>
        <w:t xml:space="preserve">EF – enhancement factor, </w:t>
      </w:r>
      <w:r>
        <w:rPr>
          <w:rFonts w:ascii="Times New Roman" w:hAnsi="Times New Roman" w:cs="Times New Roman"/>
          <w:iCs/>
          <w:sz w:val="20"/>
          <w:szCs w:val="20"/>
          <w:vertAlign w:val="superscript"/>
          <w:lang w:val="en-GB"/>
        </w:rPr>
        <w:t>6</w:t>
      </w:r>
      <w:r>
        <w:rPr>
          <w:rFonts w:ascii="Times New Roman" w:hAnsi="Times New Roman" w:cs="Times New Roman"/>
          <w:iCs/>
          <w:sz w:val="20"/>
          <w:szCs w:val="20"/>
          <w:lang w:val="en-GB"/>
        </w:rPr>
        <w:t>CE – carbon enrichment</w:t>
      </w:r>
      <w:bookmarkEnd w:id="7"/>
      <w:r>
        <w:rPr>
          <w:rFonts w:ascii="Times New Roman" w:hAnsi="Times New Roman" w:cs="Times New Roman"/>
          <w:iCs/>
          <w:sz w:val="20"/>
          <w:szCs w:val="20"/>
          <w:lang w:val="en-GB"/>
        </w:rPr>
        <w:t xml:space="preserve">, </w:t>
      </w:r>
      <w:r>
        <w:rPr>
          <w:rFonts w:ascii="Times New Roman" w:hAnsi="Times New Roman" w:cs="Times New Roman"/>
          <w:iCs/>
          <w:sz w:val="20"/>
          <w:szCs w:val="20"/>
          <w:vertAlign w:val="superscript"/>
          <w:lang w:val="en-GB"/>
        </w:rPr>
        <w:t>7</w:t>
      </w:r>
      <w:r>
        <w:rPr>
          <w:rFonts w:ascii="Times New Roman" w:hAnsi="Times New Roman" w:cs="Times New Roman"/>
          <w:iCs/>
          <w:sz w:val="20"/>
          <w:szCs w:val="20"/>
          <w:lang w:val="en-GB"/>
        </w:rPr>
        <w:t>WL – weight loss.</w:t>
      </w:r>
    </w:p>
    <w:bookmarkEnd w:id="8"/>
    <w:p>
      <w:pPr>
        <w:rPr>
          <w:rFonts w:ascii="Times New Roman" w:hAnsi="Times New Roman" w:cs="Times New Roman"/>
          <w:b/>
          <w:bCs/>
          <w:iCs/>
          <w:sz w:val="24"/>
          <w:szCs w:val="24"/>
          <w:lang w:val="en-GB"/>
        </w:rPr>
      </w:pPr>
      <w:r>
        <w:rPr>
          <w:rFonts w:ascii="Times New Roman" w:hAnsi="Times New Roman" w:cs="Times New Roman"/>
          <w:b/>
          <w:bCs/>
          <w:iCs/>
          <w:sz w:val="24"/>
          <w:szCs w:val="24"/>
          <w:lang w:val="en-GB"/>
        </w:rPr>
        <w:br w:type="page"/>
      </w:r>
    </w:p>
    <w:p>
      <w:pPr>
        <w:rPr>
          <w:rFonts w:ascii="Times New Roman" w:hAnsi="Times New Roman" w:cs="Times New Roman"/>
          <w:b/>
          <w:bCs/>
          <w:iCs/>
          <w:sz w:val="24"/>
          <w:szCs w:val="24"/>
          <w:lang w:val="en-GB"/>
        </w:rPr>
        <w:sectPr>
          <w:pgSz w:w="15840" w:h="12240" w:orient="landscape"/>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0"/>
        <w:gridCol w:w="4536"/>
      </w:tblGrid>
      <w:tr>
        <w:tc>
          <w:tcPr>
            <w:tcW w:w="4545" w:type="dxa"/>
          </w:tcPr>
          <w:p>
            <w:pPr>
              <w:jc w:val="both"/>
              <w:rPr>
                <w:rFonts w:ascii="Times New Roman" w:hAnsi="Times New Roman" w:cs="Times New Roman"/>
                <w:iCs/>
                <w:sz w:val="24"/>
                <w:szCs w:val="24"/>
                <w:highlight w:val="yellow"/>
                <w:lang w:val="en-GB"/>
              </w:rPr>
            </w:pPr>
            <w:r>
              <w:rPr>
                <w:rFonts w:ascii="Times New Roman" w:hAnsi="Times New Roman" w:cs="Times New Roman"/>
                <w:b/>
                <w:bCs/>
                <w:sz w:val="24"/>
                <w:szCs w:val="24"/>
                <w:lang w:val="en-GB"/>
              </w:rPr>
              <w:lastRenderedPageBreak/>
              <w:t>(a)</w:t>
            </w:r>
          </w:p>
        </w:tc>
        <w:tc>
          <w:tcPr>
            <w:tcW w:w="4481" w:type="dxa"/>
          </w:tcPr>
          <w:p>
            <w:pPr>
              <w:jc w:val="both"/>
              <w:rPr>
                <w:rFonts w:ascii="Times New Roman" w:hAnsi="Times New Roman" w:cs="Times New Roman"/>
                <w:iCs/>
                <w:sz w:val="24"/>
                <w:szCs w:val="24"/>
                <w:highlight w:val="yellow"/>
                <w:lang w:val="en-GB"/>
              </w:rPr>
            </w:pPr>
            <w:r>
              <w:rPr>
                <w:rFonts w:ascii="Times New Roman" w:hAnsi="Times New Roman" w:cs="Times New Roman"/>
                <w:b/>
                <w:bCs/>
                <w:sz w:val="24"/>
                <w:szCs w:val="24"/>
                <w:lang w:val="en-GB"/>
              </w:rPr>
              <w:t>(b)</w:t>
            </w:r>
          </w:p>
        </w:tc>
      </w:tr>
      <w:tr>
        <w:tc>
          <w:tcPr>
            <w:tcW w:w="4545" w:type="dxa"/>
          </w:tcPr>
          <w:p>
            <w:pPr>
              <w:jc w:val="both"/>
              <w:rPr>
                <w:rFonts w:ascii="Times New Roman" w:hAnsi="Times New Roman" w:cs="Times New Roman"/>
                <w:iCs/>
                <w:sz w:val="24"/>
                <w:szCs w:val="24"/>
                <w:highlight w:val="yellow"/>
                <w:lang w:val="en-GB"/>
              </w:rPr>
            </w:pPr>
            <w:r>
              <w:rPr>
                <w:noProof/>
              </w:rPr>
              <w:drawing>
                <wp:inline distT="0" distB="0" distL="0" distR="0">
                  <wp:extent cx="2709143" cy="2198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0916" cy="2207923"/>
                          </a:xfrm>
                          <a:prstGeom prst="rect">
                            <a:avLst/>
                          </a:prstGeom>
                        </pic:spPr>
                      </pic:pic>
                    </a:graphicData>
                  </a:graphic>
                </wp:inline>
              </w:drawing>
            </w:r>
          </w:p>
        </w:tc>
        <w:tc>
          <w:tcPr>
            <w:tcW w:w="4481" w:type="dxa"/>
          </w:tcPr>
          <w:p>
            <w:pPr>
              <w:jc w:val="both"/>
              <w:rPr>
                <w:rFonts w:ascii="Times New Roman" w:hAnsi="Times New Roman" w:cs="Times New Roman"/>
                <w:iCs/>
                <w:sz w:val="24"/>
                <w:szCs w:val="24"/>
                <w:highlight w:val="yellow"/>
                <w:lang w:val="en-GB"/>
              </w:rPr>
            </w:pPr>
            <w:r>
              <w:rPr>
                <w:noProof/>
              </w:rPr>
              <w:drawing>
                <wp:inline distT="0" distB="0" distL="0" distR="0">
                  <wp:extent cx="2701437" cy="2245360"/>
                  <wp:effectExtent l="0" t="0" r="381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18745" cy="2259746"/>
                          </a:xfrm>
                          <a:prstGeom prst="rect">
                            <a:avLst/>
                          </a:prstGeom>
                        </pic:spPr>
                      </pic:pic>
                    </a:graphicData>
                  </a:graphic>
                </wp:inline>
              </w:drawing>
            </w:r>
          </w:p>
        </w:tc>
      </w:tr>
      <w:tr>
        <w:tc>
          <w:tcPr>
            <w:tcW w:w="4545" w:type="dxa"/>
          </w:tcPr>
          <w:p>
            <w:pPr>
              <w:jc w:val="both"/>
              <w:rPr>
                <w:rFonts w:ascii="Times New Roman" w:hAnsi="Times New Roman" w:cs="Times New Roman"/>
                <w:iCs/>
                <w:sz w:val="24"/>
                <w:szCs w:val="24"/>
                <w:highlight w:val="yellow"/>
                <w:lang w:val="en-GB"/>
              </w:rPr>
            </w:pPr>
            <w:r>
              <w:rPr>
                <w:rFonts w:ascii="Times New Roman" w:hAnsi="Times New Roman" w:cs="Times New Roman"/>
                <w:b/>
                <w:bCs/>
                <w:sz w:val="24"/>
                <w:szCs w:val="24"/>
                <w:lang w:val="en-GB"/>
              </w:rPr>
              <w:t>(c)</w:t>
            </w:r>
          </w:p>
        </w:tc>
        <w:tc>
          <w:tcPr>
            <w:tcW w:w="4481" w:type="dxa"/>
          </w:tcPr>
          <w:p>
            <w:pPr>
              <w:jc w:val="both"/>
              <w:rPr>
                <w:rFonts w:ascii="Times New Roman" w:hAnsi="Times New Roman" w:cs="Times New Roman"/>
                <w:iCs/>
                <w:sz w:val="24"/>
                <w:szCs w:val="24"/>
                <w:highlight w:val="yellow"/>
                <w:lang w:val="en-GB"/>
              </w:rPr>
            </w:pPr>
            <w:r>
              <w:rPr>
                <w:rFonts w:ascii="Times New Roman" w:hAnsi="Times New Roman" w:cs="Times New Roman"/>
                <w:b/>
                <w:bCs/>
                <w:sz w:val="24"/>
                <w:szCs w:val="24"/>
                <w:lang w:val="en-GB"/>
              </w:rPr>
              <w:t>(d)</w:t>
            </w:r>
          </w:p>
        </w:tc>
      </w:tr>
      <w:tr>
        <w:tc>
          <w:tcPr>
            <w:tcW w:w="4545" w:type="dxa"/>
          </w:tcPr>
          <w:p>
            <w:pPr>
              <w:jc w:val="both"/>
              <w:rPr>
                <w:rFonts w:ascii="Times New Roman" w:hAnsi="Times New Roman" w:cs="Times New Roman"/>
                <w:iCs/>
                <w:sz w:val="24"/>
                <w:szCs w:val="24"/>
                <w:highlight w:val="yellow"/>
                <w:lang w:val="en-GB"/>
              </w:rPr>
            </w:pPr>
            <w:r>
              <w:rPr>
                <w:noProof/>
              </w:rPr>
              <w:drawing>
                <wp:inline distT="0" distB="0" distL="0" distR="0">
                  <wp:extent cx="2784143" cy="2208253"/>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5523" cy="2241073"/>
                          </a:xfrm>
                          <a:prstGeom prst="rect">
                            <a:avLst/>
                          </a:prstGeom>
                        </pic:spPr>
                      </pic:pic>
                    </a:graphicData>
                  </a:graphic>
                </wp:inline>
              </w:drawing>
            </w:r>
          </w:p>
        </w:tc>
        <w:tc>
          <w:tcPr>
            <w:tcW w:w="4481" w:type="dxa"/>
          </w:tcPr>
          <w:p>
            <w:pPr>
              <w:jc w:val="both"/>
              <w:rPr>
                <w:rFonts w:ascii="Times New Roman" w:hAnsi="Times New Roman" w:cs="Times New Roman"/>
                <w:iCs/>
                <w:sz w:val="24"/>
                <w:szCs w:val="24"/>
                <w:highlight w:val="yellow"/>
                <w:lang w:val="en-GB"/>
              </w:rPr>
            </w:pPr>
            <w:r>
              <w:rPr>
                <w:noProof/>
              </w:rPr>
              <w:drawing>
                <wp:inline distT="0" distB="0" distL="0" distR="0">
                  <wp:extent cx="2721254" cy="2194211"/>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8728" cy="2208301"/>
                          </a:xfrm>
                          <a:prstGeom prst="rect">
                            <a:avLst/>
                          </a:prstGeom>
                        </pic:spPr>
                      </pic:pic>
                    </a:graphicData>
                  </a:graphic>
                </wp:inline>
              </w:drawing>
            </w:r>
          </w:p>
        </w:tc>
      </w:tr>
      <w:tr>
        <w:tc>
          <w:tcPr>
            <w:tcW w:w="4545" w:type="dxa"/>
          </w:tcPr>
          <w:p>
            <w:pPr>
              <w:jc w:val="both"/>
              <w:rPr>
                <w:rFonts w:ascii="Times New Roman" w:hAnsi="Times New Roman" w:cs="Times New Roman"/>
                <w:iCs/>
                <w:sz w:val="24"/>
                <w:szCs w:val="24"/>
                <w:highlight w:val="yellow"/>
                <w:lang w:val="en-GB"/>
              </w:rPr>
            </w:pPr>
            <w:r>
              <w:rPr>
                <w:rFonts w:ascii="Times New Roman" w:hAnsi="Times New Roman" w:cs="Times New Roman"/>
                <w:b/>
                <w:bCs/>
                <w:sz w:val="24"/>
                <w:szCs w:val="24"/>
                <w:lang w:val="en-GB"/>
              </w:rPr>
              <w:t>(e)</w:t>
            </w:r>
          </w:p>
        </w:tc>
        <w:tc>
          <w:tcPr>
            <w:tcW w:w="4481" w:type="dxa"/>
          </w:tcPr>
          <w:p>
            <w:pPr>
              <w:jc w:val="both"/>
              <w:rPr>
                <w:rFonts w:ascii="Times New Roman" w:hAnsi="Times New Roman" w:cs="Times New Roman"/>
                <w:iCs/>
                <w:sz w:val="24"/>
                <w:szCs w:val="24"/>
                <w:highlight w:val="yellow"/>
                <w:lang w:val="en-GB"/>
              </w:rPr>
            </w:pPr>
            <w:r>
              <w:rPr>
                <w:rFonts w:ascii="Times New Roman" w:hAnsi="Times New Roman" w:cs="Times New Roman"/>
                <w:b/>
                <w:bCs/>
                <w:sz w:val="24"/>
                <w:szCs w:val="24"/>
                <w:lang w:val="en-GB"/>
              </w:rPr>
              <w:t>(f)</w:t>
            </w:r>
          </w:p>
        </w:tc>
      </w:tr>
      <w:tr>
        <w:tc>
          <w:tcPr>
            <w:tcW w:w="4545" w:type="dxa"/>
          </w:tcPr>
          <w:p>
            <w:pPr>
              <w:jc w:val="both"/>
              <w:rPr>
                <w:rFonts w:ascii="Times New Roman" w:hAnsi="Times New Roman" w:cs="Times New Roman"/>
                <w:iCs/>
                <w:sz w:val="24"/>
                <w:szCs w:val="24"/>
                <w:highlight w:val="yellow"/>
                <w:lang w:val="en-GB"/>
              </w:rPr>
            </w:pPr>
            <w:r>
              <w:rPr>
                <w:noProof/>
              </w:rPr>
              <w:drawing>
                <wp:inline distT="0" distB="0" distL="0" distR="0">
                  <wp:extent cx="2763595" cy="221093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8383" cy="2222768"/>
                          </a:xfrm>
                          <a:prstGeom prst="rect">
                            <a:avLst/>
                          </a:prstGeom>
                        </pic:spPr>
                      </pic:pic>
                    </a:graphicData>
                  </a:graphic>
                </wp:inline>
              </w:drawing>
            </w:r>
          </w:p>
        </w:tc>
        <w:tc>
          <w:tcPr>
            <w:tcW w:w="4481" w:type="dxa"/>
          </w:tcPr>
          <w:p>
            <w:pPr>
              <w:jc w:val="both"/>
              <w:rPr>
                <w:rFonts w:ascii="Times New Roman" w:hAnsi="Times New Roman" w:cs="Times New Roman"/>
                <w:iCs/>
                <w:sz w:val="24"/>
                <w:szCs w:val="24"/>
                <w:highlight w:val="yellow"/>
                <w:lang w:val="en-GB"/>
              </w:rPr>
            </w:pPr>
            <w:r>
              <w:rPr>
                <w:noProof/>
              </w:rPr>
              <w:drawing>
                <wp:inline distT="0" distB="0" distL="0" distR="0">
                  <wp:extent cx="2736215" cy="2183878"/>
                  <wp:effectExtent l="0" t="0" r="698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2104" cy="2196560"/>
                          </a:xfrm>
                          <a:prstGeom prst="rect">
                            <a:avLst/>
                          </a:prstGeom>
                        </pic:spPr>
                      </pic:pic>
                    </a:graphicData>
                  </a:graphic>
                </wp:inline>
              </w:drawing>
            </w:r>
          </w:p>
        </w:tc>
      </w:tr>
    </w:tbl>
    <w:p>
      <w:pPr>
        <w:spacing w:after="0" w:line="48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t xml:space="preserve">Fig. S3. </w:t>
      </w:r>
      <w:r>
        <w:rPr>
          <w:rFonts w:ascii="Times New Roman" w:hAnsi="Times New Roman" w:cs="Times New Roman"/>
          <w:sz w:val="24"/>
          <w:szCs w:val="24"/>
          <w:lang w:val="en-GB"/>
        </w:rPr>
        <w:t>Enhancement factor versus carbon enrichment (a–c) and O/C ratio (d–f) for different durations (15–60 min) of DT of WCPR.</w:t>
      </w:r>
    </w:p>
    <w:p>
      <w:pPr>
        <w:rPr>
          <w:rFonts w:ascii="Times New Roman" w:hAnsi="Times New Roman" w:cs="Times New Roman"/>
          <w:b/>
          <w:bCs/>
          <w:iCs/>
          <w:sz w:val="24"/>
          <w:szCs w:val="24"/>
          <w:lang w:val="en-GB"/>
        </w:rPr>
      </w:pPr>
    </w:p>
    <w:p>
      <w:pPr>
        <w:rPr>
          <w:rFonts w:ascii="Times New Roman" w:hAnsi="Times New Roman" w:cs="Times New Roman"/>
          <w:b/>
          <w:bCs/>
          <w:iCs/>
          <w:sz w:val="24"/>
          <w:szCs w:val="24"/>
          <w:lang w:val="en-GB"/>
        </w:rPr>
      </w:pPr>
      <w:r>
        <w:rPr>
          <w:rFonts w:ascii="Times New Roman" w:hAnsi="Times New Roman" w:cs="Times New Roman"/>
          <w:b/>
          <w:bCs/>
          <w:iCs/>
          <w:sz w:val="24"/>
          <w:szCs w:val="24"/>
          <w:lang w:val="en-GB"/>
        </w:rPr>
        <w:lastRenderedPageBreak/>
        <w:t>References</w:t>
      </w:r>
    </w:p>
    <w:p>
      <w:pPr>
        <w:spacing w:after="0" w:line="480" w:lineRule="auto"/>
        <w:jc w:val="both"/>
        <w:rPr>
          <w:rFonts w:ascii="Times New Roman" w:hAnsi="Times New Roman" w:cs="Times New Roman"/>
          <w:b/>
          <w:bCs/>
          <w:iCs/>
          <w:sz w:val="24"/>
          <w:szCs w:val="24"/>
          <w:lang w:val="en-GB"/>
        </w:rPr>
      </w:pPr>
    </w:p>
    <w:p>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Pr>
          <w:rFonts w:ascii="Times New Roman" w:hAnsi="Times New Roman" w:cs="Times New Roman"/>
          <w:b/>
          <w:bCs/>
          <w:iCs/>
          <w:sz w:val="24"/>
          <w:szCs w:val="24"/>
          <w:lang w:val="en-GB"/>
        </w:rPr>
        <w:fldChar w:fldCharType="begin" w:fldLock="1"/>
      </w:r>
      <w:r>
        <w:rPr>
          <w:rFonts w:ascii="Times New Roman" w:hAnsi="Times New Roman" w:cs="Times New Roman"/>
          <w:b/>
          <w:bCs/>
          <w:iCs/>
          <w:sz w:val="24"/>
          <w:szCs w:val="24"/>
          <w:lang w:val="en-GB"/>
        </w:rPr>
        <w:instrText xml:space="preserve">ADDIN Mendeley Bibliography CSL_BIBLIOGRAPHY </w:instrText>
      </w:r>
      <w:r>
        <w:rPr>
          <w:rFonts w:ascii="Times New Roman" w:hAnsi="Times New Roman" w:cs="Times New Roman"/>
          <w:b/>
          <w:bCs/>
          <w:iCs/>
          <w:sz w:val="24"/>
          <w:szCs w:val="24"/>
          <w:lang w:val="en-GB"/>
        </w:rPr>
        <w:fldChar w:fldCharType="separate"/>
      </w:r>
      <w:r>
        <w:rPr>
          <w:rFonts w:ascii="Times New Roman" w:hAnsi="Times New Roman" w:cs="Times New Roman"/>
          <w:noProof/>
          <w:sz w:val="24"/>
          <w:szCs w:val="24"/>
        </w:rPr>
        <w:t>[1]</w:t>
      </w:r>
      <w:r>
        <w:rPr>
          <w:rFonts w:ascii="Times New Roman" w:hAnsi="Times New Roman" w:cs="Times New Roman"/>
          <w:noProof/>
          <w:sz w:val="24"/>
          <w:szCs w:val="24"/>
        </w:rPr>
        <w:tab/>
        <w:t>L. Segal, J.J. Creely, A.E. Martin, C.M. Conrad, An Empirical Method for Estimating the Degree of Crystallinity of Native Cellulose Using the X-Ray Diffractometer, Text. Res. J. 29 (1959) 786–794. https://doi.org/10.1177/004051755902901003.</w:t>
      </w:r>
    </w:p>
    <w:p>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[2]</w:t>
      </w:r>
      <w:r>
        <w:rPr>
          <w:rFonts w:ascii="Times New Roman" w:hAnsi="Times New Roman" w:cs="Times New Roman"/>
          <w:noProof/>
          <w:sz w:val="24"/>
          <w:szCs w:val="24"/>
        </w:rPr>
        <w:tab/>
        <w:t>A. Thygesen, J. Oddershede, H. Lilholt, A.B. Thomsen, K. Ståhl, On the determination of crystallinity and cellulose content in plant fibres, Cellulose. 12 (2005) 563–576. https://doi.org/10.1007/s10570-005-9001-8.</w:t>
      </w:r>
    </w:p>
    <w:p>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[3]</w:t>
      </w:r>
      <w:r>
        <w:rPr>
          <w:rFonts w:ascii="Times New Roman" w:hAnsi="Times New Roman" w:cs="Times New Roman"/>
          <w:noProof/>
          <w:sz w:val="24"/>
          <w:szCs w:val="24"/>
        </w:rPr>
        <w:tab/>
        <w:t>N. Johar, I. Ahmad, A. Dufresne, Extraction, preparation and characterization of cellulose fibres and nanocrystals from rice husk, Ind. Crops Prod. 37 (2012) 93–99. https://doi.org/10.1016/j.indcrop.2011.12.016.</w:t>
      </w:r>
    </w:p>
    <w:p>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[4]</w:t>
      </w:r>
      <w:r>
        <w:rPr>
          <w:rFonts w:ascii="Times New Roman" w:hAnsi="Times New Roman" w:cs="Times New Roman"/>
          <w:noProof/>
          <w:sz w:val="24"/>
          <w:szCs w:val="24"/>
        </w:rPr>
        <w:tab/>
        <w:t>G. SriBala, R. Chennuru, S. Mahapatra, R. Vinu, Effect of alkaline ultrasonic pretreatment on crystalline morphology and enzymatic hydrolysis of cellulose, Cellulose. 23 (2016) 1725–1740. https://doi.org/10.1007/s10570-016-0893-2.</w:t>
      </w:r>
    </w:p>
    <w:p>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[5]</w:t>
      </w:r>
      <w:r>
        <w:rPr>
          <w:rFonts w:ascii="Times New Roman" w:hAnsi="Times New Roman" w:cs="Times New Roman"/>
          <w:noProof/>
          <w:sz w:val="24"/>
          <w:szCs w:val="24"/>
        </w:rPr>
        <w:tab/>
        <w:t>A. Zheng, Z. Zhao, S. Chang, Z. Huang, K. Zhao, G. Wei, F. He, H. Li, Comparison of the effect of wet and dry torrefaction on chemical structure and pyrolysis behavior of corncobs, Bioresour. Technol. 176 (2015) 15–22. https://doi.org/10.1016/j.biortech.2014.10.157.</w:t>
      </w:r>
    </w:p>
    <w:p>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[6]</w:t>
      </w:r>
      <w:r>
        <w:rPr>
          <w:rFonts w:ascii="Times New Roman" w:hAnsi="Times New Roman" w:cs="Times New Roman"/>
          <w:noProof/>
          <w:sz w:val="24"/>
          <w:szCs w:val="24"/>
        </w:rPr>
        <w:tab/>
        <w:t>R. García, C. Pizarro, A.G. Lavín, J.L. Bueno, Biomass proximate analysis using thermogravimetry, Bioresour. Technol. 139 (2013) 1–4. https://doi.org/10.1016/j.biortech.2013.03.197.</w:t>
      </w:r>
    </w:p>
    <w:p>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[7]</w:t>
      </w:r>
      <w:r>
        <w:rPr>
          <w:rFonts w:ascii="Times New Roman" w:hAnsi="Times New Roman" w:cs="Times New Roman"/>
          <w:noProof/>
          <w:sz w:val="24"/>
          <w:szCs w:val="24"/>
        </w:rPr>
        <w:tab/>
        <w:t>X. Li, Z. Lu, J. Chen, X. Chen, Y. Jiang, J. Jian, S. Yao, Effect of oxidative torrefaction on high temperature combustion process of wood sphere, Fuel. 286 (2021) 119379. https://doi.org/10.1016/j.fuel.2020.119379.</w:t>
      </w:r>
    </w:p>
    <w:p>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[8]</w:t>
      </w:r>
      <w:r>
        <w:rPr>
          <w:rFonts w:ascii="Times New Roman" w:hAnsi="Times New Roman" w:cs="Times New Roman"/>
          <w:noProof/>
          <w:sz w:val="24"/>
          <w:szCs w:val="24"/>
        </w:rPr>
        <w:tab/>
        <w:t xml:space="preserve">X. Niu, Y. Xu, L. Shen, Effect of torrefaction on the evolution of carbon and nitrogen during </w:t>
      </w:r>
      <w:r>
        <w:rPr>
          <w:rFonts w:ascii="Times New Roman" w:hAnsi="Times New Roman" w:cs="Times New Roman"/>
          <w:noProof/>
          <w:sz w:val="24"/>
          <w:szCs w:val="24"/>
        </w:rPr>
        <w:lastRenderedPageBreak/>
        <w:t>chemical looping gasification of rapeseed cake, Chem. Eng. J. 450 (2022) 138134. https://doi.org/10.1016/j.cej.2022.138134.</w:t>
      </w:r>
    </w:p>
    <w:p>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[9]</w:t>
      </w:r>
      <w:r>
        <w:rPr>
          <w:rFonts w:ascii="Times New Roman" w:hAnsi="Times New Roman" w:cs="Times New Roman"/>
          <w:noProof/>
          <w:sz w:val="24"/>
          <w:szCs w:val="24"/>
        </w:rPr>
        <w:tab/>
        <w:t>D. Chen, A. Gao, K. Cen, J. Zhang, X. Cao, Z. Ma, Investigation of biomass torrefaction based on three major components: Hemicellulose, cellulose, and lignin, Energy Convers. Manag. 169 (2018) 228–237. https://doi.org/10.1016/j.enconman.2018.05.063.</w:t>
      </w:r>
    </w:p>
    <w:p>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[10]</w:t>
      </w:r>
      <w:r>
        <w:rPr>
          <w:rFonts w:ascii="Times New Roman" w:hAnsi="Times New Roman" w:cs="Times New Roman"/>
          <w:noProof/>
          <w:sz w:val="24"/>
          <w:szCs w:val="24"/>
        </w:rPr>
        <w:tab/>
        <w:t>C. Zhang, S.H. Ho, W.H. Chen, Y. Xie, Z. Liu, J.S. Chang, Torrefaction performance and energy usage of biomass wastes and their correlations with torrefaction severity index, Appl. Energy. 220 (2018) 598–604. https://doi.org/10.1016/j.apenergy.2018.03.129.</w:t>
      </w:r>
    </w:p>
    <w:p>
      <w:pPr>
        <w:widowControl w:val="0"/>
        <w:autoSpaceDE w:val="0"/>
        <w:autoSpaceDN w:val="0"/>
        <w:adjustRightInd w:val="0"/>
        <w:spacing w:after="0" w:line="480" w:lineRule="auto"/>
        <w:ind w:left="640" w:hanging="640"/>
        <w:jc w:val="both"/>
        <w:rPr>
          <w:rFonts w:ascii="Times New Roman" w:hAnsi="Times New Roman" w:cs="Times New Roman"/>
          <w:noProof/>
          <w:sz w:val="24"/>
        </w:rPr>
      </w:pPr>
      <w:r>
        <w:rPr>
          <w:rFonts w:ascii="Times New Roman" w:hAnsi="Times New Roman" w:cs="Times New Roman"/>
          <w:noProof/>
          <w:sz w:val="24"/>
          <w:szCs w:val="24"/>
        </w:rPr>
        <w:t>[11]</w:t>
      </w:r>
      <w:r>
        <w:rPr>
          <w:rFonts w:ascii="Times New Roman" w:hAnsi="Times New Roman" w:cs="Times New Roman"/>
          <w:noProof/>
          <w:sz w:val="24"/>
          <w:szCs w:val="24"/>
        </w:rPr>
        <w:tab/>
        <w:t>X. Wang, J. Wu, Y. Chen, A. Pattiya, H. Yang, H. Chen, Comparative study of wet and dry torrefaction of corn stalk and the effect on biomass pyrolysis polygeneration, Bioresour. Technol. 258 (2018) 88–97. https://doi.org/10.1016/j.biortech.2018.02.114.</w:t>
      </w:r>
    </w:p>
    <w:p>
      <w:pPr>
        <w:spacing w:after="0" w:line="480" w:lineRule="auto"/>
        <w:jc w:val="both"/>
        <w:rPr>
          <w:rFonts w:ascii="Times New Roman" w:hAnsi="Times New Roman" w:cs="Times New Roman"/>
          <w:b/>
          <w:bCs/>
          <w:iCs/>
          <w:sz w:val="24"/>
          <w:szCs w:val="24"/>
          <w:lang w:val="en-GB"/>
        </w:rPr>
      </w:pPr>
      <w:r>
        <w:rPr>
          <w:rFonts w:ascii="Times New Roman" w:hAnsi="Times New Roman" w:cs="Times New Roman"/>
          <w:b/>
          <w:bCs/>
          <w:iCs/>
          <w:sz w:val="24"/>
          <w:szCs w:val="24"/>
          <w:lang w:val="en-GB"/>
        </w:rPr>
        <w:fldChar w:fldCharType="end"/>
      </w:r>
    </w:p>
    <w:sect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3612429"/>
      <w:docPartObj>
        <w:docPartGallery w:val="Page Numbers (Bottom of Page)"/>
        <w:docPartUnique/>
      </w:docPartObj>
    </w:sdtPr>
    <w:sdtEndPr>
      <w:rPr>
        <w:noProof/>
      </w:rPr>
    </w:sdtEndPr>
    <w:sdtContent>
      <w:p>
        <w:pPr>
          <w:pStyle w:val="Footer"/>
          <w:jc w:val="right"/>
        </w:pPr>
        <w:r>
          <w:t>S</w:t>
        </w: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spacing w:after="0" w:line="360" w:lineRule="auto"/>
        <w:jc w:val="both"/>
        <w:rPr>
          <w:rFonts w:ascii="Times New Roman" w:hAnsi="Times New Roman" w:cs="Times New Roman"/>
          <w:sz w:val="24"/>
          <w:szCs w:val="24"/>
          <w:lang w:val="en-GB"/>
        </w:rPr>
      </w:pPr>
      <w:r>
        <w:rPr>
          <w:rStyle w:val="FootnoteReference"/>
        </w:rPr>
        <w:sym w:font="Symbol" w:char="F02A"/>
      </w:r>
      <w:r>
        <w:rPr>
          <w:rFonts w:ascii="Times New Roman" w:hAnsi="Times New Roman" w:cs="Times New Roman"/>
          <w:sz w:val="24"/>
          <w:szCs w:val="24"/>
          <w:lang w:val="en-GB"/>
        </w:rPr>
        <w:t>Corresponding author:</w:t>
      </w:r>
    </w:p>
    <w:p>
      <w:pPr>
        <w:shd w:val="clear" w:color="auto" w:fill="FFFFFF"/>
        <w:spacing w:after="0" w:line="360" w:lineRule="auto"/>
        <w:rPr>
          <w:sz w:val="24"/>
          <w:szCs w:val="24"/>
          <w:lang w:val="en-GB"/>
        </w:rPr>
      </w:pPr>
      <w:r>
        <w:rPr>
          <w:rFonts w:ascii="Times New Roman" w:hAnsi="Times New Roman" w:cs="Times New Roman"/>
          <w:i/>
          <w:sz w:val="24"/>
          <w:szCs w:val="24"/>
          <w:lang w:val="en-GB"/>
        </w:rPr>
        <w:t xml:space="preserve">E-mail address: </w:t>
      </w:r>
      <w:r>
        <w:rPr>
          <w:rFonts w:ascii="Times New Roman" w:hAnsi="Times New Roman" w:cs="Times New Roman"/>
          <w:sz w:val="24"/>
          <w:szCs w:val="24"/>
          <w:lang w:val="en-GB"/>
        </w:rPr>
        <w:t>andrii.kostyniuk@ki.si (</w:t>
      </w:r>
      <w:r>
        <w:rPr>
          <w:rFonts w:ascii="Times New Roman" w:hAnsi="Times New Roman" w:cs="Times New Roman"/>
          <w:color w:val="000000"/>
          <w:sz w:val="24"/>
          <w:szCs w:val="24"/>
          <w:lang w:val="en-GB"/>
        </w:rPr>
        <w:t>Andrii Kostyniuk</w:t>
      </w:r>
      <w:r>
        <w:rPr>
          <w:rFonts w:ascii="Times New Roman" w:hAnsi="Times New Roman" w:cs="Times New Roman"/>
          <w:sz w:val="24"/>
          <w:szCs w:val="24"/>
          <w:lang w:val="en-GB"/>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K0MDS3MDGwNLC0NLZQ0lEKTi0uzszPAymwrAUA3i/2qCwAAAA="/>
  </w:docVar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EB389D3-9E53-4144-A636-5CD0061FE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ru-RU"/>
    </w:rPr>
  </w:style>
  <w:style w:type="character" w:customStyle="1" w:styleId="HTMLPreformattedChar">
    <w:name w:val="HTML Preformatted Char"/>
    <w:basedOn w:val="DefaultParagraphFont"/>
    <w:link w:val="HTMLPreformatted"/>
    <w:rPr>
      <w:rFonts w:ascii="Courier New" w:eastAsia="Times New Roman" w:hAnsi="Courier New" w:cs="Courier New"/>
      <w:sz w:val="20"/>
      <w:szCs w:val="20"/>
      <w:lang w:val="en-GB" w:eastAsia="ru-RU"/>
    </w:rPr>
  </w:style>
  <w:style w:type="character" w:styleId="FootnoteReference">
    <w:name w:val="footnote reference"/>
    <w:uiPriority w:val="99"/>
    <w:rPr>
      <w:vertAlign w:val="superscript"/>
    </w:rPr>
  </w:style>
  <w:style w:type="paragraph" w:styleId="Footer">
    <w:name w:val="footer"/>
    <w:basedOn w:val="Normal"/>
    <w:link w:val="FooterChar"/>
    <w:uiPriority w:val="99"/>
    <w:unhideWhenUsed/>
    <w:pPr>
      <w:tabs>
        <w:tab w:val="center" w:pos="4677"/>
        <w:tab w:val="right" w:pos="9355"/>
      </w:tabs>
      <w:spacing w:after="0" w:line="240" w:lineRule="auto"/>
    </w:pPr>
    <w:rPr>
      <w:rFonts w:eastAsiaTheme="minorEastAsia"/>
      <w:lang w:val="en-GB" w:eastAsia="zh-CN"/>
    </w:rPr>
  </w:style>
  <w:style w:type="character" w:customStyle="1" w:styleId="FooterChar">
    <w:name w:val="Footer Char"/>
    <w:basedOn w:val="DefaultParagraphFont"/>
    <w:link w:val="Footer"/>
    <w:uiPriority w:val="99"/>
    <w:rPr>
      <w:rFonts w:eastAsiaTheme="minorEastAsia"/>
      <w:lang w:val="en-GB" w:eastAsia="zh-CN"/>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character" w:styleId="EndnoteReference">
    <w:name w:val="end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2B38E-AEC3-46BA-A9EE-C92A70CBB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14</Pages>
  <Words>6969</Words>
  <Characters>39725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Andrii Kostyniuk</dc:creator>
  <cp:keywords/>
  <dc:description/>
  <cp:lastModifiedBy>Andrii Kostyniuk</cp:lastModifiedBy>
  <cp:revision>50</cp:revision>
  <dcterms:created xsi:type="dcterms:W3CDTF">2023-10-19T09:25:00Z</dcterms:created>
  <dcterms:modified xsi:type="dcterms:W3CDTF">2025-05-12T21:56:00Z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http://www.zotero.org/styles/angewandte-chemie</vt:lpwstr>
  </property>
  <property fmtid="{D5CDD505-2E9C-101B-9397-08002B2CF9AE}" pid="3" name="Mendeley Recent Style Name 0_1">
    <vt:lpwstr>Angewandte Chemie International Edition</vt:lpwstr>
  </property>
  <property fmtid="{D5CDD505-2E9C-101B-9397-08002B2CF9AE}" pid="4" name="Mendeley Recent Style Id 1_1">
    <vt:lpwstr>http://www.zotero.org/styles/applied-catalysis-a-general</vt:lpwstr>
  </property>
  <property fmtid="{D5CDD505-2E9C-101B-9397-08002B2CF9AE}" pid="5" name="Mendeley Recent Style Name 1_1">
    <vt:lpwstr>Applied Catalysis A, General</vt:lpwstr>
  </property>
  <property fmtid="{D5CDD505-2E9C-101B-9397-08002B2CF9AE}" pid="6" name="Mendeley Recent Style Id 2_1">
    <vt:lpwstr>http://www.zotero.org/styles/applied-catalysis-b-environmental</vt:lpwstr>
  </property>
  <property fmtid="{D5CDD505-2E9C-101B-9397-08002B2CF9AE}" pid="7" name="Mendeley Recent Style Name 2_1">
    <vt:lpwstr>Applied Catalysis B: Environmental</vt:lpwstr>
  </property>
  <property fmtid="{D5CDD505-2E9C-101B-9397-08002B2CF9AE}" pid="8" name="Mendeley Recent Style Id 3_1">
    <vt:lpwstr>http://www.zotero.org/styles/chem-catalysis</vt:lpwstr>
  </property>
  <property fmtid="{D5CDD505-2E9C-101B-9397-08002B2CF9AE}" pid="9" name="Mendeley Recent Style Name 3_1">
    <vt:lpwstr>Chem Catalysis</vt:lpwstr>
  </property>
  <property fmtid="{D5CDD505-2E9C-101B-9397-08002B2CF9AE}" pid="10" name="Mendeley Recent Style Id 4_1">
    <vt:lpwstr>http://www.zotero.org/styles/energy-and-environmental-science</vt:lpwstr>
  </property>
  <property fmtid="{D5CDD505-2E9C-101B-9397-08002B2CF9AE}" pid="11" name="Mendeley Recent Style Name 4_1">
    <vt:lpwstr>Energy &amp; Environmental Science</vt:lpwstr>
  </property>
  <property fmtid="{D5CDD505-2E9C-101B-9397-08002B2CF9AE}" pid="12" name="Mendeley Recent Style Id 5_1">
    <vt:lpwstr>http://www.zotero.org/styles/green-chemistry</vt:lpwstr>
  </property>
  <property fmtid="{D5CDD505-2E9C-101B-9397-08002B2CF9AE}" pid="13" name="Mendeley Recent Style Name 5_1">
    <vt:lpwstr>Green Chemistry</vt:lpwstr>
  </property>
  <property fmtid="{D5CDD505-2E9C-101B-9397-08002B2CF9AE}" pid="14" name="Mendeley Recent Style Id 6_1">
    <vt:lpwstr>http://www.zotero.org/styles/journal-of-the-american-chemical-society</vt:lpwstr>
  </property>
  <property fmtid="{D5CDD505-2E9C-101B-9397-08002B2CF9AE}" pid="15" name="Mendeley Recent Style Name 6_1">
    <vt:lpwstr>Journal of the American Chemical Society</vt:lpwstr>
  </property>
  <property fmtid="{D5CDD505-2E9C-101B-9397-08002B2CF9AE}" pid="16" name="Mendeley Recent Style Id 7_1">
    <vt:lpwstr>http://www.zotero.org/styles/nature-chemistry</vt:lpwstr>
  </property>
  <property fmtid="{D5CDD505-2E9C-101B-9397-08002B2CF9AE}" pid="17" name="Mendeley Recent Style Name 7_1">
    <vt:lpwstr>Nature Chemistry</vt:lpwstr>
  </property>
  <property fmtid="{D5CDD505-2E9C-101B-9397-08002B2CF9AE}" pid="18" name="Mendeley Recent Style Id 8_1">
    <vt:lpwstr>http://www.zotero.org/styles/nature-communications</vt:lpwstr>
  </property>
  <property fmtid="{D5CDD505-2E9C-101B-9397-08002B2CF9AE}" pid="19" name="Mendeley Recent Style Name 8_1">
    <vt:lpwstr>Nature Communications</vt:lpwstr>
  </property>
  <property fmtid="{D5CDD505-2E9C-101B-9397-08002B2CF9AE}" pid="20" name="Mendeley Recent Style Id 9_1">
    <vt:lpwstr>http://www.zotero.org/styles/renewable-energy</vt:lpwstr>
  </property>
  <property fmtid="{D5CDD505-2E9C-101B-9397-08002B2CF9AE}" pid="21" name="Mendeley Recent Style Name 9_1">
    <vt:lpwstr>Renewable Energy</vt:lpwstr>
  </property>
  <property fmtid="{D5CDD505-2E9C-101B-9397-08002B2CF9AE}" pid="22" name="Mendeley Document_1">
    <vt:lpwstr>True</vt:lpwstr>
  </property>
  <property fmtid="{D5CDD505-2E9C-101B-9397-08002B2CF9AE}" pid="23" name="Mendeley Unique User Id_1">
    <vt:lpwstr>646a71f3-25d9-3816-83ea-d4c75b95823b</vt:lpwstr>
  </property>
  <property fmtid="{D5CDD505-2E9C-101B-9397-08002B2CF9AE}" pid="24" name="Mendeley Citation Style_1">
    <vt:lpwstr>http://www.zotero.org/styles/renewable-energy</vt:lpwstr>
  </property>
</Properties>
</file>