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pStyle w:val="Footer"/>
        <w:shd w:val="clear" w:color="auto" w:fill="FFFFFF"/>
        <w:spacing w:line="480" w:lineRule="auto"/>
        <w:jc w:val="both"/>
        <w:rPr>
          <w:rFonts w:ascii="Times New Roman" w:hAnsi="Times New Roman" w:cs="Times New Roman"/>
          <w:kern w:val="36"/>
          <w:sz w:val="28"/>
          <w:szCs w:val="24"/>
        </w:rPr>
      </w:pPr>
      <w:r>
        <w:rPr>
          <w:rFonts w:ascii="Times New Roman" w:hAnsi="Times New Roman" w:cs="Times New Roman"/>
          <w:kern w:val="36"/>
          <w:sz w:val="28"/>
          <w:szCs w:val="24"/>
        </w:rPr>
        <w:t xml:space="preserve">Catalytic Wet Torrefaction of Biomass Waste into Bio-Ethanol, </w:t>
      </w:r>
      <w:proofErr w:type="spellStart"/>
      <w:r>
        <w:rPr>
          <w:rFonts w:ascii="Times New Roman" w:hAnsi="Times New Roman" w:cs="Times New Roman"/>
          <w:kern w:val="36"/>
          <w:sz w:val="28"/>
          <w:szCs w:val="24"/>
        </w:rPr>
        <w:t>Levulinic</w:t>
      </w:r>
      <w:proofErr w:type="spellEnd"/>
      <w:r>
        <w:rPr>
          <w:rFonts w:ascii="Times New Roman" w:hAnsi="Times New Roman" w:cs="Times New Roman"/>
          <w:kern w:val="36"/>
          <w:sz w:val="28"/>
          <w:szCs w:val="24"/>
        </w:rPr>
        <w:t xml:space="preserve"> Acid, and </w:t>
      </w:r>
      <w:proofErr w:type="gramStart"/>
      <w:r>
        <w:rPr>
          <w:rFonts w:ascii="Times New Roman" w:hAnsi="Times New Roman" w:cs="Times New Roman"/>
          <w:kern w:val="36"/>
          <w:sz w:val="28"/>
          <w:szCs w:val="24"/>
        </w:rPr>
        <w:t>High Quality</w:t>
      </w:r>
      <w:proofErr w:type="gramEnd"/>
      <w:r>
        <w:rPr>
          <w:rFonts w:ascii="Times New Roman" w:hAnsi="Times New Roman" w:cs="Times New Roman"/>
          <w:kern w:val="36"/>
          <w:sz w:val="28"/>
          <w:szCs w:val="24"/>
        </w:rPr>
        <w:t xml:space="preserve"> Solid Fuel</w:t>
      </w:r>
    </w:p>
    <w:p>
      <w:pPr>
        <w:pStyle w:val="Footer"/>
        <w:shd w:val="clear" w:color="auto" w:fill="FFFFFF"/>
        <w:spacing w:line="480" w:lineRule="auto"/>
        <w:rPr>
          <w:rFonts w:ascii="Times New Roman" w:hAnsi="Times New Roman" w:cs="Times New Roman"/>
          <w:kern w:val="36"/>
          <w:sz w:val="28"/>
          <w:szCs w:val="24"/>
        </w:rPr>
      </w:pPr>
    </w:p>
    <w:p>
      <w:pPr>
        <w:pStyle w:val="HTMLPreformatted"/>
        <w:shd w:val="clear" w:color="auto" w:fill="FFFFFF"/>
        <w:spacing w:line="480" w:lineRule="auto"/>
        <w:rPr>
          <w:rFonts w:ascii="Times New Roman" w:hAnsi="Times New Roman" w:cs="Times New Roman"/>
          <w:color w:val="000000"/>
          <w:sz w:val="24"/>
          <w:szCs w:val="24"/>
          <w:vertAlign w:val="superscript"/>
        </w:rPr>
      </w:pPr>
      <w:bookmarkStart w:id="0" w:name="_Hlk105066656"/>
      <w:r>
        <w:rPr>
          <w:rFonts w:ascii="Times New Roman" w:hAnsi="Times New Roman" w:cs="Times New Roman"/>
          <w:color w:val="000000"/>
          <w:sz w:val="24"/>
          <w:szCs w:val="24"/>
        </w:rPr>
        <w:t xml:space="preserve">Andrii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Kostyniuk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a</w:t>
      </w:r>
      <w:proofErr w:type="spellEnd"/>
      <w:r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customMarkFollows="1" w:id="1"/>
        <w:sym w:font="Symbol" w:char="F02A"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Blaž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Likozar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a,b</w:t>
      </w:r>
      <w:proofErr w:type="gramEnd"/>
      <w:r>
        <w:rPr>
          <w:rFonts w:ascii="Times New Roman" w:hAnsi="Times New Roman" w:cs="Times New Roman"/>
          <w:sz w:val="24"/>
          <w:szCs w:val="24"/>
          <w:vertAlign w:val="superscript"/>
        </w:rPr>
        <w:t>,c,d</w:t>
      </w:r>
      <w:proofErr w:type="spellEnd"/>
    </w:p>
    <w:p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i/>
          <w:sz w:val="24"/>
          <w:szCs w:val="24"/>
        </w:rPr>
        <w:t>Department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of Catalysis and Chemical Reaction Engineering, National Institute of Chemistry,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Hajdrihova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19, Ljubljana, 1001, Slovenia</w:t>
      </w:r>
    </w:p>
    <w:p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ru-RU"/>
        </w:rPr>
        <w:t>b</w:t>
      </w:r>
      <w:r>
        <w:rPr>
          <w:rFonts w:ascii="Times New Roman" w:hAnsi="Times New Roman" w:cs="Times New Roman"/>
          <w:i/>
          <w:sz w:val="24"/>
          <w:szCs w:val="24"/>
        </w:rPr>
        <w:t>Faculty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of Polymer Technology,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Slovenj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Gradec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2380, Slovenia</w:t>
      </w:r>
    </w:p>
    <w:p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ru-RU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Pulp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and Paper Institute,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Bogišićeva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8, Ljubljana 1000, Slovenia</w:t>
      </w:r>
    </w:p>
    <w:p>
      <w:p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ru-RU"/>
        </w:rPr>
        <w:t>d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Faculty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of Chemistry and Chemical Technology, University of Ljubljana,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Večna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pot 113, Ljubljana 1000, Slovenia</w:t>
      </w:r>
    </w:p>
    <w:bookmarkEnd w:id="0"/>
    <w:p/>
    <w:p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S1</w:t>
      </w:r>
    </w:p>
    <w:p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Composition of the wood cellulose pulp residue (WCPR).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722"/>
        <w:gridCol w:w="2713"/>
        <w:gridCol w:w="2061"/>
        <w:gridCol w:w="842"/>
        <w:gridCol w:w="1012"/>
      </w:tblGrid>
      <w:tr>
        <w:trPr>
          <w:trHeight w:val="300"/>
        </w:trPr>
        <w:tc>
          <w:tcPr>
            <w:tcW w:w="1456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Glucan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 dry)</w:t>
            </w:r>
          </w:p>
        </w:tc>
        <w:tc>
          <w:tcPr>
            <w:tcW w:w="1451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Lignin AIL − ash</w:t>
            </w:r>
          </w:p>
        </w:tc>
        <w:tc>
          <w:tcPr>
            <w:tcW w:w="1102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Lignin ASL</w:t>
            </w:r>
          </w:p>
        </w:tc>
        <w:tc>
          <w:tcPr>
            <w:tcW w:w="450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Ash</w:t>
            </w:r>
          </w:p>
        </w:tc>
        <w:tc>
          <w:tcPr>
            <w:tcW w:w="540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Total</w:t>
            </w:r>
          </w:p>
        </w:tc>
      </w:tr>
      <w:tr>
        <w:trPr>
          <w:trHeight w:val="300"/>
        </w:trPr>
        <w:tc>
          <w:tcPr>
            <w:tcW w:w="1456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62.26</w:t>
            </w:r>
          </w:p>
        </w:tc>
        <w:tc>
          <w:tcPr>
            <w:tcW w:w="1451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30.90</w:t>
            </w:r>
          </w:p>
        </w:tc>
        <w:tc>
          <w:tcPr>
            <w:tcW w:w="1102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0.14</w:t>
            </w:r>
          </w:p>
        </w:tc>
        <w:tc>
          <w:tcPr>
            <w:tcW w:w="450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1.4</w:t>
            </w:r>
          </w:p>
        </w:tc>
        <w:tc>
          <w:tcPr>
            <w:tcW w:w="540" w:type="pct"/>
            <w:noWrap/>
            <w:hideMark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94.7</w:t>
            </w:r>
          </w:p>
        </w:tc>
      </w:tr>
      <w:tr>
        <w:trPr>
          <w:trHeight w:val="300"/>
        </w:trPr>
        <w:tc>
          <w:tcPr>
            <w:tcW w:w="1456" w:type="pct"/>
            <w:noWrap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Lignin AIL</w:t>
            </w:r>
          </w:p>
        </w:tc>
        <w:tc>
          <w:tcPr>
            <w:tcW w:w="3544" w:type="pct"/>
            <w:gridSpan w:val="4"/>
            <w:noWrap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Acid Insoluble Lignin</w:t>
            </w:r>
          </w:p>
        </w:tc>
      </w:tr>
      <w:tr>
        <w:trPr>
          <w:trHeight w:val="300"/>
        </w:trPr>
        <w:tc>
          <w:tcPr>
            <w:tcW w:w="1456" w:type="pct"/>
            <w:noWrap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Lignin ASL</w:t>
            </w:r>
          </w:p>
        </w:tc>
        <w:tc>
          <w:tcPr>
            <w:tcW w:w="3544" w:type="pct"/>
            <w:gridSpan w:val="4"/>
            <w:noWrap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Acid Soluble Lignin</w:t>
            </w:r>
          </w:p>
        </w:tc>
      </w:tr>
    </w:tbl>
    <w:p/>
    <w:p>
      <w:pPr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/>
        </w:rPr>
      </w:pPr>
    </w:p>
    <w:p>
      <w:pPr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/>
        </w:rPr>
      </w:pPr>
    </w:p>
    <w:p>
      <w:pPr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/>
        </w:rPr>
      </w:pPr>
    </w:p>
    <w:p>
      <w:pPr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/>
        </w:rPr>
      </w:pPr>
    </w:p>
    <w:p>
      <w:pPr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>
        <w:tc>
          <w:tcPr>
            <w:tcW w:w="9360" w:type="dxa"/>
          </w:tcPr>
          <w:p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lastRenderedPageBreak/>
              <w:t>(a)</w:t>
            </w:r>
          </w:p>
        </w:tc>
      </w:tr>
      <w:tr>
        <w:tc>
          <w:tcPr>
            <w:tcW w:w="9360" w:type="dxa"/>
          </w:tcPr>
          <w:p>
            <w:pP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drawing>
                <wp:inline distT="0" distB="0" distL="0" distR="0">
                  <wp:extent cx="3870251" cy="2752178"/>
                  <wp:effectExtent l="0" t="0" r="0" b="0"/>
                  <wp:docPr id="2" name="Picture 2" descr="Reactor Systems - National Institute of Chemistry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354F538-4F8D-4C57-9A15-AC59E6CAA1E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2" descr="Reactor Systems - National Institute of Chemistry">
                            <a:extLst>
                              <a:ext uri="{FF2B5EF4-FFF2-40B4-BE49-F238E27FC236}">
                                <a16:creationId xmlns:a16="http://schemas.microsoft.com/office/drawing/2014/main" id="{3354F538-4F8D-4C57-9A15-AC59E6CAA1E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77605" cy="275740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c>
          <w:tcPr>
            <w:tcW w:w="9360" w:type="dxa"/>
          </w:tcPr>
          <w:p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(b)</w:t>
            </w:r>
          </w:p>
        </w:tc>
      </w:tr>
      <w:tr>
        <w:tc>
          <w:tcPr>
            <w:tcW w:w="9360" w:type="dxa"/>
          </w:tcPr>
          <w:p>
            <w:pP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GB"/>
              </w:rPr>
              <w:drawing>
                <wp:inline distT="0" distB="0" distL="0" distR="0">
                  <wp:extent cx="5440935" cy="3934460"/>
                  <wp:effectExtent l="0" t="0" r="7620" b="889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153"/>
                          <a:stretch/>
                        </pic:blipFill>
                        <pic:spPr bwMode="auto">
                          <a:xfrm>
                            <a:off x="0" y="0"/>
                            <a:ext cx="5447344" cy="3939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c>
          <w:tcPr>
            <w:tcW w:w="9360" w:type="dxa"/>
          </w:tcPr>
          <w:p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(c)</w:t>
            </w:r>
          </w:p>
        </w:tc>
      </w:tr>
      <w:tr>
        <w:tc>
          <w:tcPr>
            <w:tcW w:w="9360" w:type="dxa"/>
          </w:tcPr>
          <w:p>
            <w:pP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/>
                <w:noProof/>
                <w:sz w:val="24"/>
                <w:szCs w:val="24"/>
                <w:lang w:val="en-GB"/>
              </w:rPr>
              <w:lastRenderedPageBreak/>
              <w:drawing>
                <wp:inline distT="0" distB="0" distL="0" distR="0">
                  <wp:extent cx="5935345" cy="3758565"/>
                  <wp:effectExtent l="0" t="0" r="8255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5345" cy="3758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Fig. S1.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Photograph of the stainless steel (Parr, 5000 Multiple Reactor System) batch reactors utilized for WT of WCPR – (a); layout diagram of multiple reactor system – (b); 5050/5051 vessel body diagram, PTFE and O-ring seals – (c).</w:t>
      </w:r>
    </w:p>
    <w:p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/>
    <w:p>
      <w:pPr>
        <w:sectPr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>
      <w:pPr>
        <w:spacing w:after="0" w:line="480" w:lineRule="auto"/>
        <w:contextualSpacing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Table S2</w:t>
      </w:r>
    </w:p>
    <w:p>
      <w:pPr>
        <w:spacing w:after="0" w:line="48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Chemical analysis and structural properties of the H-ZSM-5 zeolite catalyst.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349"/>
        <w:gridCol w:w="1551"/>
        <w:gridCol w:w="979"/>
        <w:gridCol w:w="979"/>
        <w:gridCol w:w="979"/>
        <w:gridCol w:w="1101"/>
        <w:gridCol w:w="1101"/>
        <w:gridCol w:w="1101"/>
        <w:gridCol w:w="824"/>
        <w:gridCol w:w="2986"/>
      </w:tblGrid>
      <w:tr>
        <w:trPr>
          <w:trHeight w:val="973"/>
          <w:jc w:val="center"/>
        </w:trPr>
        <w:tc>
          <w:tcPr>
            <w:tcW w:w="521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Catalyst</w:t>
            </w:r>
          </w:p>
        </w:tc>
        <w:tc>
          <w:tcPr>
            <w:tcW w:w="599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SiO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/Al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3</w:t>
            </w:r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ratio</w:t>
            </w:r>
          </w:p>
        </w:tc>
        <w:tc>
          <w:tcPr>
            <w:tcW w:w="37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BET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a</w:t>
            </w:r>
            <w:proofErr w:type="spellEnd"/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/g)</w:t>
            </w:r>
          </w:p>
        </w:tc>
        <w:tc>
          <w:tcPr>
            <w:tcW w:w="37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micro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a</w:t>
            </w:r>
            <w:proofErr w:type="spellEnd"/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/g)</w:t>
            </w:r>
          </w:p>
        </w:tc>
        <w:tc>
          <w:tcPr>
            <w:tcW w:w="37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meso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a</w:t>
            </w:r>
            <w:proofErr w:type="spellEnd"/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/g)</w:t>
            </w:r>
          </w:p>
        </w:tc>
        <w:tc>
          <w:tcPr>
            <w:tcW w:w="425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V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micro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b</w:t>
            </w:r>
            <w:proofErr w:type="spellEnd"/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(cm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/g)</w:t>
            </w:r>
          </w:p>
        </w:tc>
        <w:tc>
          <w:tcPr>
            <w:tcW w:w="425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V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total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b</w:t>
            </w:r>
            <w:proofErr w:type="spellEnd"/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(cm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/g)</w:t>
            </w:r>
          </w:p>
        </w:tc>
        <w:tc>
          <w:tcPr>
            <w:tcW w:w="425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V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meso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b</w:t>
            </w:r>
            <w:proofErr w:type="spellEnd"/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(cm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/g)</w:t>
            </w:r>
          </w:p>
        </w:tc>
        <w:tc>
          <w:tcPr>
            <w:tcW w:w="31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PD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c</w:t>
            </w:r>
            <w:proofErr w:type="spellEnd"/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(nm)</w:t>
            </w:r>
          </w:p>
        </w:tc>
        <w:tc>
          <w:tcPr>
            <w:tcW w:w="1154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Average crystallite size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GB"/>
              </w:rPr>
              <w:t>d</w:t>
            </w:r>
          </w:p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(nm)</w:t>
            </w:r>
          </w:p>
        </w:tc>
      </w:tr>
      <w:tr>
        <w:trPr>
          <w:trHeight w:val="289"/>
          <w:jc w:val="center"/>
        </w:trPr>
        <w:tc>
          <w:tcPr>
            <w:tcW w:w="521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H-ZSM-5</w:t>
            </w:r>
          </w:p>
        </w:tc>
        <w:tc>
          <w:tcPr>
            <w:tcW w:w="599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37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348</w:t>
            </w:r>
          </w:p>
        </w:tc>
        <w:tc>
          <w:tcPr>
            <w:tcW w:w="37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37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425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425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425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0.13</w:t>
            </w:r>
          </w:p>
        </w:tc>
        <w:tc>
          <w:tcPr>
            <w:tcW w:w="318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  <w:tc>
          <w:tcPr>
            <w:tcW w:w="1154" w:type="pct"/>
            <w:vAlign w:val="center"/>
          </w:tcPr>
          <w:p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50.3</w:t>
            </w:r>
          </w:p>
        </w:tc>
      </w:tr>
    </w:tbl>
    <w:p>
      <w:pPr>
        <w:spacing w:after="0" w:line="48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a</w:t>
      </w:r>
      <w:r>
        <w:rPr>
          <w:rFonts w:ascii="Times New Roman" w:hAnsi="Times New Roman" w:cs="Times New Roman"/>
          <w:sz w:val="24"/>
          <w:szCs w:val="24"/>
          <w:lang w:val="en-GB"/>
        </w:rPr>
        <w:t>BET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method. </w:t>
      </w:r>
      <w:proofErr w:type="spellStart"/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b</w:t>
      </w:r>
      <w:r>
        <w:rPr>
          <w:rFonts w:ascii="Times New Roman" w:hAnsi="Times New Roman" w:cs="Times New Roman"/>
          <w:sz w:val="24"/>
          <w:szCs w:val="24"/>
          <w:lang w:val="en-GB"/>
        </w:rPr>
        <w:t>t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-plot method. </w:t>
      </w:r>
      <w:proofErr w:type="spellStart"/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c</w:t>
      </w:r>
      <w:r>
        <w:rPr>
          <w:rFonts w:ascii="Times New Roman" w:hAnsi="Times New Roman" w:cs="Times New Roman"/>
          <w:sz w:val="24"/>
          <w:szCs w:val="24"/>
          <w:lang w:val="en-GB"/>
        </w:rPr>
        <w:t>PD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− average pore diameter measured from the desorption branch according to the BJH method. </w:t>
      </w:r>
      <w:proofErr w:type="spellStart"/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d</w:t>
      </w:r>
      <w:r>
        <w:rPr>
          <w:rFonts w:ascii="Times New Roman" w:hAnsi="Times New Roman" w:cs="Times New Roman"/>
          <w:sz w:val="24"/>
          <w:szCs w:val="24"/>
          <w:lang w:val="en-GB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crystallite size and relative crystallinity were calculated from the seven most intensive diffraction peaks of XRD spectra.</w:t>
      </w:r>
    </w:p>
    <w:p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>
      <w:pPr>
        <w:pStyle w:val="NoSpacing"/>
        <w:spacing w:line="480" w:lineRule="auto"/>
        <w:rPr>
          <w:rFonts w:ascii="Times New Roman" w:hAnsi="Times New Roman" w:cs="Times New Roman"/>
          <w:b/>
          <w:sz w:val="24"/>
          <w:szCs w:val="24"/>
          <w:lang w:val="en-GB" w:eastAsia="zh-CN"/>
        </w:rPr>
      </w:pPr>
      <w:r>
        <w:rPr>
          <w:rFonts w:ascii="Times New Roman" w:hAnsi="Times New Roman" w:cs="Times New Roman"/>
          <w:b/>
          <w:sz w:val="24"/>
          <w:szCs w:val="24"/>
          <w:lang w:val="en-GB" w:eastAsia="zh-CN"/>
        </w:rPr>
        <w:lastRenderedPageBreak/>
        <w:t>Table S3</w:t>
      </w:r>
    </w:p>
    <w:p>
      <w:pPr>
        <w:pStyle w:val="NoSpacing"/>
        <w:spacing w:line="480" w:lineRule="auto"/>
        <w:rPr>
          <w:rFonts w:ascii="Times New Roman" w:hAnsi="Times New Roman" w:cs="Times New Roman"/>
          <w:sz w:val="24"/>
          <w:szCs w:val="24"/>
          <w:lang w:val="en-GB" w:eastAsia="zh-CN"/>
        </w:rPr>
      </w:pPr>
      <w:r>
        <w:rPr>
          <w:rFonts w:ascii="Times New Roman" w:hAnsi="Times New Roman" w:cs="Times New Roman"/>
          <w:sz w:val="24"/>
          <w:szCs w:val="24"/>
          <w:lang w:val="en-GB" w:eastAsia="zh-CN"/>
        </w:rPr>
        <w:t>Acid properties of the H-ZSM-5 zeolite catalyst.</w:t>
      </w:r>
    </w:p>
    <w:tbl>
      <w:tblPr>
        <w:tblStyle w:val="ListTable6Colorful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3"/>
        <w:gridCol w:w="1487"/>
        <w:gridCol w:w="1474"/>
        <w:gridCol w:w="2411"/>
        <w:gridCol w:w="1479"/>
        <w:gridCol w:w="1849"/>
        <w:gridCol w:w="3147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pct"/>
            <w:gridSpan w:val="4"/>
            <w:tcBorders>
              <w:bottom w:val="none" w:sz="0" w:space="0" w:color="auto"/>
            </w:tcBorders>
            <w:vAlign w:val="center"/>
            <w:hideMark/>
          </w:tcPr>
          <w:p>
            <w:pPr>
              <w:spacing w:line="480" w:lineRule="auto"/>
              <w:jc w:val="center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  <w:t>Acid site density by NH</w:t>
            </w:r>
            <w:r>
              <w:rPr>
                <w:rFonts w:ascii="Times New Roman" w:hAnsi="Times New Roman" w:cs="Times New Roman"/>
                <w:bCs w:val="0"/>
                <w:sz w:val="24"/>
                <w:szCs w:val="24"/>
                <w:vertAlign w:val="subscript"/>
                <w:lang w:val="en-GB"/>
              </w:rPr>
              <w:t>3</w:t>
            </w:r>
            <w:r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  <w:t>-TPD (mmol</w:t>
            </w:r>
            <w:r>
              <w:rPr>
                <w:rFonts w:ascii="Times New Roman" w:hAnsi="Times New Roman" w:cs="Times New Roman"/>
                <w:bCs w:val="0"/>
                <w:sz w:val="24"/>
                <w:szCs w:val="24"/>
                <w:vertAlign w:val="subscript"/>
                <w:lang w:val="en-GB"/>
              </w:rPr>
              <w:t>NH3</w:t>
            </w:r>
            <w:r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  <w:t>g</w:t>
            </w:r>
            <w:r>
              <w:rPr>
                <w:rFonts w:ascii="Times New Roman" w:hAnsi="Times New Roman" w:cs="Times New Roman"/>
                <w:bCs w:val="0"/>
                <w:sz w:val="24"/>
                <w:szCs w:val="24"/>
                <w:vertAlign w:val="subscript"/>
                <w:lang w:val="en-GB"/>
              </w:rPr>
              <w:t>cat</w:t>
            </w:r>
            <w:proofErr w:type="spellEnd"/>
            <w:r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  <w:t>)</w:t>
            </w:r>
          </w:p>
        </w:tc>
        <w:tc>
          <w:tcPr>
            <w:tcW w:w="2500" w:type="pct"/>
            <w:gridSpan w:val="3"/>
            <w:tcBorders>
              <w:bottom w:val="none" w:sz="0" w:space="0" w:color="auto"/>
            </w:tcBorders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  <w:t>Diversity of acid sites by pyridine-DRIFTS (%)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pct"/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  <w:t>Total</w:t>
            </w:r>
          </w:p>
        </w:tc>
        <w:tc>
          <w:tcPr>
            <w:tcW w:w="574" w:type="pct"/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Weak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  <w:lang w:val="en-GB"/>
              </w:rPr>
              <w:t>a</w:t>
            </w:r>
            <w:proofErr w:type="spellEnd"/>
          </w:p>
        </w:tc>
        <w:tc>
          <w:tcPr>
            <w:tcW w:w="569" w:type="pct"/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Strong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  <w:lang w:val="en-GB"/>
              </w:rPr>
              <w:t>b</w:t>
            </w:r>
            <w:proofErr w:type="spellEnd"/>
          </w:p>
        </w:tc>
        <w:tc>
          <w:tcPr>
            <w:tcW w:w="931" w:type="pct"/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Strong/Weak</w:t>
            </w:r>
          </w:p>
        </w:tc>
        <w:tc>
          <w:tcPr>
            <w:tcW w:w="571" w:type="pct"/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BAS</w:t>
            </w:r>
          </w:p>
        </w:tc>
        <w:tc>
          <w:tcPr>
            <w:tcW w:w="714" w:type="pct"/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LAS</w:t>
            </w:r>
          </w:p>
        </w:tc>
        <w:tc>
          <w:tcPr>
            <w:tcW w:w="1215" w:type="pct"/>
            <w:shd w:val="clear" w:color="auto" w:fill="FFFFFF" w:themeFill="background1"/>
            <w:vAlign w:val="center"/>
            <w:hideMark/>
          </w:tcPr>
          <w:p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BAS/LAS ratio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pct"/>
            <w:vAlign w:val="center"/>
            <w:hideMark/>
          </w:tcPr>
          <w:p>
            <w:pPr>
              <w:spacing w:line="480" w:lineRule="auto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0.87</w:t>
            </w:r>
          </w:p>
        </w:tc>
        <w:tc>
          <w:tcPr>
            <w:tcW w:w="574" w:type="pct"/>
            <w:vAlign w:val="center"/>
            <w:hideMark/>
          </w:tcPr>
          <w:p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0.43</w:t>
            </w:r>
          </w:p>
        </w:tc>
        <w:tc>
          <w:tcPr>
            <w:tcW w:w="569" w:type="pct"/>
            <w:vAlign w:val="center"/>
            <w:hideMark/>
          </w:tcPr>
          <w:p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0.44</w:t>
            </w:r>
          </w:p>
        </w:tc>
        <w:tc>
          <w:tcPr>
            <w:tcW w:w="931" w:type="pct"/>
            <w:vAlign w:val="center"/>
            <w:hideMark/>
          </w:tcPr>
          <w:p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1.0</w:t>
            </w:r>
          </w:p>
        </w:tc>
        <w:tc>
          <w:tcPr>
            <w:tcW w:w="571" w:type="pct"/>
            <w:vAlign w:val="center"/>
            <w:hideMark/>
          </w:tcPr>
          <w:p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71.5</w:t>
            </w:r>
          </w:p>
        </w:tc>
        <w:tc>
          <w:tcPr>
            <w:tcW w:w="714" w:type="pct"/>
            <w:vAlign w:val="center"/>
            <w:hideMark/>
          </w:tcPr>
          <w:p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28.5</w:t>
            </w:r>
          </w:p>
        </w:tc>
        <w:tc>
          <w:tcPr>
            <w:tcW w:w="1215" w:type="pct"/>
            <w:vAlign w:val="center"/>
            <w:hideMark/>
          </w:tcPr>
          <w:p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2.51</w:t>
            </w:r>
          </w:p>
        </w:tc>
      </w:tr>
    </w:tbl>
    <w:p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a − determined at average temperature T = </w:t>
      </w:r>
      <w:r>
        <w:rPr>
          <w:rFonts w:ascii="Times New Roman" w:hAnsi="Times New Roman" w:cs="Times New Roman"/>
          <w:sz w:val="24"/>
          <w:szCs w:val="24"/>
        </w:rPr>
        <w:t xml:space="preserve">202.2 </w:t>
      </w:r>
      <w:r>
        <w:rPr>
          <w:rFonts w:ascii="Times New Roman" w:hAnsi="Times New Roman" w:cs="Times New Roman"/>
          <w:sz w:val="24"/>
          <w:szCs w:val="24"/>
          <w:lang w:val="en-GB"/>
        </w:rPr>
        <w:t>°C.</w:t>
      </w:r>
    </w:p>
    <w:p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b − determined at average temperature T = </w:t>
      </w:r>
      <w:r>
        <w:rPr>
          <w:rFonts w:ascii="Times New Roman" w:hAnsi="Times New Roman" w:cs="Times New Roman"/>
          <w:sz w:val="24"/>
          <w:szCs w:val="24"/>
        </w:rPr>
        <w:t xml:space="preserve">396.6 </w:t>
      </w:r>
      <w:r>
        <w:rPr>
          <w:rFonts w:ascii="Times New Roman" w:hAnsi="Times New Roman" w:cs="Times New Roman"/>
          <w:sz w:val="24"/>
          <w:szCs w:val="24"/>
          <w:lang w:val="en-GB"/>
        </w:rPr>
        <w:t>°C.</w:t>
      </w:r>
    </w:p>
    <w:p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BAS −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Brönsted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acid sites.</w:t>
      </w:r>
    </w:p>
    <w:p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LAS − 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Lewis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acid sites.</w:t>
      </w:r>
    </w:p>
    <w:p>
      <w:pPr>
        <w:rPr>
          <w:lang w:val="en-GB"/>
        </w:rPr>
      </w:pPr>
      <w:r>
        <w:rPr>
          <w:lang w:val="en-GB"/>
        </w:rPr>
        <w:br w:type="page"/>
      </w:r>
    </w:p>
    <w:p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  <w:lang w:val="en-GB"/>
        </w:rPr>
      </w:pPr>
      <w:bookmarkStart w:id="1" w:name="_Hlk135653091"/>
      <w:bookmarkStart w:id="2" w:name="_Hlk156044942"/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lastRenderedPageBreak/>
        <w:t>Table S4.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SEM-EDX analysis of the WCPR, WT_WCPR and the WT</w:t>
      </w:r>
      <w:bookmarkEnd w:id="1"/>
      <w:r>
        <w:rPr>
          <w:rFonts w:ascii="Times New Roman" w:hAnsi="Times New Roman" w:cs="Times New Roman"/>
          <w:iCs/>
          <w:sz w:val="24"/>
          <w:szCs w:val="24"/>
          <w:lang w:val="en-GB"/>
        </w:rPr>
        <w:t>+ZSM-5 samples.</w:t>
      </w:r>
    </w:p>
    <w:tbl>
      <w:tblPr>
        <w:tblStyle w:val="TableGrid"/>
        <w:tblW w:w="9016" w:type="dxa"/>
        <w:tblInd w:w="-5" w:type="dxa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>
        <w:tc>
          <w:tcPr>
            <w:tcW w:w="9016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WCPR</w:t>
            </w:r>
          </w:p>
        </w:tc>
      </w:tr>
      <w:tr>
        <w:tc>
          <w:tcPr>
            <w:tcW w:w="225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Element</w:t>
            </w:r>
          </w:p>
        </w:tc>
        <w:tc>
          <w:tcPr>
            <w:tcW w:w="225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Scan 1 (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%)</w:t>
            </w:r>
          </w:p>
        </w:tc>
        <w:tc>
          <w:tcPr>
            <w:tcW w:w="225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Scan 2 (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%)</w:t>
            </w:r>
          </w:p>
        </w:tc>
        <w:tc>
          <w:tcPr>
            <w:tcW w:w="225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Scan 3 (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%)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57.97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58.57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57.97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41.69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41.27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41.85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Si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0.06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0.06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Al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0.14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Ca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0.13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0.13</w:t>
            </w:r>
          </w:p>
        </w:tc>
      </w:tr>
      <w:tr>
        <w:tc>
          <w:tcPr>
            <w:tcW w:w="9016" w:type="dxa"/>
            <w:gridSpan w:val="4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WT_WCPR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59.42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59.40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58.75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40.58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40.60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41.25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Si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Al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Ca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</w:tr>
      <w:tr>
        <w:tc>
          <w:tcPr>
            <w:tcW w:w="9016" w:type="dxa"/>
            <w:gridSpan w:val="4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WT+ZSM-5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45.68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43.87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45.26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42.70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43.95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42.01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Si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10.65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11.18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11.68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Al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0.86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0.88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0.91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‒</w:t>
            </w:r>
          </w:p>
        </w:tc>
      </w:tr>
      <w:tr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Ca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0.12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0.11</w:t>
            </w:r>
          </w:p>
        </w:tc>
        <w:tc>
          <w:tcPr>
            <w:tcW w:w="2254" w:type="dxa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0.13</w:t>
            </w:r>
          </w:p>
        </w:tc>
      </w:tr>
      <w:bookmarkEnd w:id="2"/>
    </w:tbl>
    <w:p>
      <w:pPr>
        <w:spacing w:after="0" w:line="480" w:lineRule="auto"/>
        <w:contextualSpacing/>
        <w:rPr>
          <w:lang w:val="en-GB"/>
        </w:rPr>
      </w:pPr>
    </w:p>
    <w:sectPr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54203795"/>
      <w:docPartObj>
        <w:docPartGallery w:val="Page Numbers (Bottom of Page)"/>
        <w:docPartUnique/>
      </w:docPartObj>
    </w:sdtPr>
    <w:sdtEndPr>
      <w:rPr>
        <w:noProof/>
      </w:rPr>
    </w:sdtEndPr>
    <w:sdtContent>
      <w:p>
        <w:pPr>
          <w:pStyle w:val="Footer"/>
          <w:jc w:val="right"/>
        </w:pPr>
        <w:r>
          <w:t>S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1">
    <w:p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Style w:val="FootnoteReference"/>
          <w:sz w:val="20"/>
          <w:szCs w:val="20"/>
        </w:rPr>
        <w:sym w:font="Symbol" w:char="F02A"/>
      </w:r>
      <w:r>
        <w:rPr>
          <w:rFonts w:ascii="Times New Roman" w:hAnsi="Times New Roman" w:cs="Times New Roman"/>
          <w:sz w:val="24"/>
          <w:szCs w:val="24"/>
          <w:lang w:val="en-GB"/>
        </w:rPr>
        <w:t>Corresponding authors:</w:t>
      </w:r>
    </w:p>
    <w:p>
      <w:pPr>
        <w:shd w:val="clear" w:color="auto" w:fill="FFFFFF"/>
        <w:spacing w:after="0" w:line="360" w:lineRule="auto"/>
        <w:rPr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E-mail address: </w:t>
      </w:r>
      <w:r>
        <w:rPr>
          <w:rFonts w:ascii="Times New Roman" w:hAnsi="Times New Roman" w:cs="Times New Roman"/>
          <w:sz w:val="24"/>
          <w:szCs w:val="24"/>
          <w:lang w:val="en-GB"/>
        </w:rPr>
        <w:t>andrii.kostyniuk@ki.si (</w:t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Andrii Kostyniuk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GyMDI3MjA2MzAzMDFR0lEKTi0uzszPAykwqgUAi38ifSwAAAA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671F7BF-501E-488A-A390-FB616DC49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 w:eastAsia="ru-RU"/>
    </w:rPr>
  </w:style>
  <w:style w:type="character" w:customStyle="1" w:styleId="HTMLPreformattedChar">
    <w:name w:val="HTML Preformatted Char"/>
    <w:basedOn w:val="DefaultParagraphFont"/>
    <w:link w:val="HTMLPreformatted"/>
    <w:rPr>
      <w:rFonts w:ascii="Courier New" w:eastAsia="Times New Roman" w:hAnsi="Courier New" w:cs="Courier New"/>
      <w:sz w:val="20"/>
      <w:szCs w:val="20"/>
      <w:lang w:val="en-GB" w:eastAsia="ru-RU"/>
    </w:rPr>
  </w:style>
  <w:style w:type="character" w:styleId="FootnoteReference">
    <w:name w:val="footnote reference"/>
    <w:uiPriority w:val="99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val="en-GB" w:eastAsia="zh-CN"/>
    </w:rPr>
  </w:style>
  <w:style w:type="character" w:customStyle="1" w:styleId="FooterChar">
    <w:name w:val="Footer Char"/>
    <w:basedOn w:val="DefaultParagraphFont"/>
    <w:link w:val="Footer"/>
    <w:uiPriority w:val="99"/>
    <w:rPr>
      <w:rFonts w:eastAsiaTheme="minorEastAsia"/>
      <w:lang w:val="en-GB" w:eastAsia="zh-CN"/>
    </w:rPr>
  </w:style>
  <w:style w:type="table" w:styleId="TableGrid">
    <w:name w:val="Table Grid"/>
    <w:basedOn w:val="TableNormal"/>
    <w:uiPriority w:val="39"/>
    <w:pPr>
      <w:spacing w:after="0" w:line="240" w:lineRule="auto"/>
    </w:pPr>
    <w:rPr>
      <w:lang w:val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NoSpacing">
    <w:name w:val="No Spacing"/>
    <w:uiPriority w:val="1"/>
    <w:qFormat/>
    <w:pPr>
      <w:spacing w:after="0" w:line="240" w:lineRule="auto"/>
    </w:pPr>
    <w:rPr>
      <w:lang w:val="sl-SI"/>
    </w:rPr>
  </w:style>
  <w:style w:type="table" w:styleId="ListTable6Colorful">
    <w:name w:val="List Table 6 Colorful"/>
    <w:basedOn w:val="TableNormal"/>
    <w:uiPriority w:val="51"/>
    <w:pPr>
      <w:spacing w:after="0" w:line="240" w:lineRule="auto"/>
    </w:pPr>
    <w:rPr>
      <w:color w:val="000000" w:themeColor="text1"/>
      <w:lang w:val="sl-SI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6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Andrii Kostyniuk</dc:creator>
  <cp:keywords/>
  <dc:description/>
  <cp:lastModifiedBy>Andrii Kostyniuk</cp:lastModifiedBy>
  <cp:revision>14</cp:revision>
  <dcterms:created xsi:type="dcterms:W3CDTF">2023-10-19T16:24:00Z</dcterms:created>
  <dcterms:modified xsi:type="dcterms:W3CDTF">2024-01-15T21:17:00Z</dcterms:modified>
</cp:coreProperties>
</file>