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pStyle w:val="Footer"/>
        <w:shd w:val="clear" w:color="auto" w:fill="FFFFFF"/>
        <w:spacing w:line="480" w:lineRule="auto"/>
        <w:jc w:val="center"/>
        <w:rPr>
          <w:rFonts w:ascii="Times New Roman" w:hAnsi="Times New Roman" w:cs="Times New Roman"/>
          <w:b/>
          <w:bCs/>
          <w:kern w:val="36"/>
          <w:sz w:val="28"/>
          <w:szCs w:val="24"/>
        </w:rPr>
      </w:pPr>
      <w:bookmarkStart w:id="0" w:name="_Hlk148352846"/>
      <w:bookmarkEnd w:id="0"/>
      <w:r>
        <w:rPr>
          <w:rFonts w:ascii="Times New Roman" w:hAnsi="Times New Roman" w:cs="Times New Roman"/>
          <w:b/>
          <w:bCs/>
          <w:kern w:val="36"/>
          <w:sz w:val="28"/>
          <w:szCs w:val="24"/>
        </w:rPr>
        <w:t>Support Information</w:t>
      </w:r>
    </w:p>
    <w:p>
      <w:pPr>
        <w:pStyle w:val="Footer"/>
        <w:shd w:val="clear" w:color="auto" w:fill="FFFFFF"/>
        <w:spacing w:line="480" w:lineRule="auto"/>
        <w:jc w:val="both"/>
        <w:rPr>
          <w:rFonts w:ascii="Times New Roman" w:hAnsi="Times New Roman" w:cs="Times New Roman"/>
          <w:kern w:val="36"/>
          <w:sz w:val="28"/>
          <w:szCs w:val="24"/>
        </w:rPr>
      </w:pPr>
    </w:p>
    <w:p>
      <w:pPr>
        <w:pStyle w:val="Footer"/>
        <w:shd w:val="clear" w:color="auto" w:fill="FFFFFF"/>
        <w:spacing w:line="480" w:lineRule="auto"/>
        <w:jc w:val="both"/>
        <w:rPr>
          <w:rFonts w:ascii="Times New Roman" w:hAnsi="Times New Roman" w:cs="Times New Roman"/>
          <w:kern w:val="36"/>
          <w:sz w:val="28"/>
          <w:szCs w:val="24"/>
        </w:rPr>
      </w:pPr>
      <w:r>
        <w:rPr>
          <w:rFonts w:ascii="Times New Roman" w:hAnsi="Times New Roman" w:cs="Times New Roman"/>
          <w:kern w:val="36"/>
          <w:sz w:val="28"/>
          <w:szCs w:val="24"/>
        </w:rPr>
        <w:t xml:space="preserve">Wet Torrefaction of Biomass Waste into Value-Added Liquid Product (5-HMF) and </w:t>
      </w:r>
      <w:proofErr w:type="gramStart"/>
      <w:r>
        <w:rPr>
          <w:rFonts w:ascii="Times New Roman" w:hAnsi="Times New Roman" w:cs="Times New Roman"/>
          <w:kern w:val="36"/>
          <w:sz w:val="28"/>
          <w:szCs w:val="24"/>
        </w:rPr>
        <w:t>High Quality</w:t>
      </w:r>
      <w:proofErr w:type="gramEnd"/>
      <w:r>
        <w:rPr>
          <w:rFonts w:ascii="Times New Roman" w:hAnsi="Times New Roman" w:cs="Times New Roman"/>
          <w:kern w:val="36"/>
          <w:sz w:val="28"/>
          <w:szCs w:val="24"/>
        </w:rPr>
        <w:t xml:space="preserve"> Solid Fuel (</w:t>
      </w:r>
      <w:proofErr w:type="spellStart"/>
      <w:r>
        <w:rPr>
          <w:rFonts w:ascii="Times New Roman" w:hAnsi="Times New Roman" w:cs="Times New Roman"/>
          <w:kern w:val="36"/>
          <w:sz w:val="28"/>
          <w:szCs w:val="24"/>
        </w:rPr>
        <w:t>Hydrochar</w:t>
      </w:r>
      <w:proofErr w:type="spellEnd"/>
      <w:r>
        <w:rPr>
          <w:rFonts w:ascii="Times New Roman" w:hAnsi="Times New Roman" w:cs="Times New Roman"/>
          <w:kern w:val="36"/>
          <w:sz w:val="28"/>
          <w:szCs w:val="24"/>
        </w:rPr>
        <w:t>) in a Nitrogen Atmosphere</w:t>
      </w:r>
    </w:p>
    <w:p>
      <w:pPr>
        <w:pStyle w:val="Footer"/>
        <w:shd w:val="clear" w:color="auto" w:fill="FFFFFF"/>
        <w:spacing w:line="480" w:lineRule="auto"/>
        <w:rPr>
          <w:rFonts w:ascii="Times New Roman" w:hAnsi="Times New Roman" w:cs="Times New Roman"/>
          <w:kern w:val="36"/>
          <w:sz w:val="28"/>
          <w:szCs w:val="24"/>
        </w:rPr>
      </w:pPr>
    </w:p>
    <w:p>
      <w:pPr>
        <w:pStyle w:val="HTMLPreformatted"/>
        <w:shd w:val="clear" w:color="auto" w:fill="FFFFFF"/>
        <w:spacing w:line="480" w:lineRule="auto"/>
        <w:rPr>
          <w:rFonts w:ascii="Times New Roman" w:hAnsi="Times New Roman" w:cs="Times New Roman"/>
          <w:color w:val="000000"/>
          <w:sz w:val="24"/>
          <w:szCs w:val="24"/>
          <w:vertAlign w:val="superscript"/>
        </w:rPr>
      </w:pPr>
      <w:bookmarkStart w:id="1" w:name="_Hlk105066656"/>
      <w:r>
        <w:rPr>
          <w:rFonts w:ascii="Times New Roman" w:hAnsi="Times New Roman" w:cs="Times New Roman"/>
          <w:color w:val="000000"/>
          <w:sz w:val="24"/>
          <w:szCs w:val="24"/>
        </w:rPr>
        <w:t xml:space="preserve">Andrii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Kostyniuk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a</w:t>
      </w:r>
      <w:proofErr w:type="spellEnd"/>
      <w:r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customMarkFollows="1" w:id="1"/>
        <w:sym w:font="Symbol" w:char="F02A"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Blaž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Likozar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a,b</w:t>
      </w:r>
      <w:proofErr w:type="gramEnd"/>
      <w:r>
        <w:rPr>
          <w:rFonts w:ascii="Times New Roman" w:hAnsi="Times New Roman" w:cs="Times New Roman"/>
          <w:sz w:val="24"/>
          <w:szCs w:val="24"/>
          <w:vertAlign w:val="superscript"/>
        </w:rPr>
        <w:t>,c,d</w:t>
      </w:r>
      <w:proofErr w:type="spellEnd"/>
      <w:r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customMarkFollows="1" w:id="2"/>
        <w:sym w:font="Symbol" w:char="F02A"/>
      </w:r>
    </w:p>
    <w:p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vertAlign w:val="superscript"/>
          <w:lang w:val="en-GB"/>
        </w:rPr>
        <w:t>a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Department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 of Catalysis and Chemical Reaction Engineering, National Institute of Chemistry,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GB"/>
        </w:rPr>
        <w:t>Hajdrihova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 19, Ljubljana, 1001, Slovenia</w:t>
      </w:r>
    </w:p>
    <w:p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en-GB" w:eastAsia="ru-RU"/>
        </w:rPr>
        <w:t>b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Faculty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 of Polymer Technology,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GB"/>
        </w:rPr>
        <w:t>Slovenj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GB"/>
        </w:rPr>
        <w:t>Gradec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 2380, Slovenia</w:t>
      </w:r>
    </w:p>
    <w:p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en-GB" w:eastAsia="ru-RU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>Pulp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 xml:space="preserve"> and Paper Institute,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>Bogišićeva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 xml:space="preserve"> 8, Ljubljana 1000, Slovenia</w:t>
      </w:r>
    </w:p>
    <w:p>
      <w:p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en-GB" w:eastAsia="ru-RU"/>
        </w:rPr>
        <w:t>d</w:t>
      </w:r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>Faculty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 xml:space="preserve"> of Chemistry and Chemical Technology, University of Ljubljana,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>Večna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GB" w:eastAsia="ru-RU"/>
        </w:rPr>
        <w:t xml:space="preserve"> pot 113, Ljubljana 1000, Slovenia</w:t>
      </w:r>
    </w:p>
    <w:bookmarkEnd w:id="1"/>
    <w:p>
      <w:pPr>
        <w:spacing w:after="0" w:line="48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</w:pPr>
    </w:p>
    <w:p>
      <w:pPr>
        <w:spacing w:after="0" w:line="48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</w:pPr>
    </w:p>
    <w:p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lastRenderedPageBreak/>
        <w:t>Table S1.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Elemental analysis of the WT WCPR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samples after </w:t>
      </w: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t>15 min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as compared to the WCPR.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270"/>
        <w:gridCol w:w="1417"/>
        <w:gridCol w:w="1500"/>
        <w:gridCol w:w="2598"/>
        <w:gridCol w:w="1197"/>
        <w:gridCol w:w="992"/>
        <w:gridCol w:w="992"/>
        <w:gridCol w:w="984"/>
      </w:tblGrid>
      <w:tr>
        <w:trPr>
          <w:trHeight w:val="554"/>
        </w:trPr>
        <w:tc>
          <w:tcPr>
            <w:tcW w:w="1263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Samples</w:t>
            </w:r>
          </w:p>
        </w:tc>
        <w:tc>
          <w:tcPr>
            <w:tcW w:w="547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°C</w:t>
            </w:r>
          </w:p>
        </w:tc>
        <w:tc>
          <w:tcPr>
            <w:tcW w:w="579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min</w:t>
            </w:r>
          </w:p>
        </w:tc>
        <w:tc>
          <w:tcPr>
            <w:tcW w:w="1003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O/WCPR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ratio</w:t>
            </w:r>
          </w:p>
        </w:tc>
        <w:tc>
          <w:tcPr>
            <w:tcW w:w="1608" w:type="pct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Elemental analysis (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%)</w:t>
            </w:r>
          </w:p>
        </w:tc>
      </w:tr>
      <w:tr>
        <w:trPr>
          <w:trHeight w:val="372"/>
        </w:trPr>
        <w:tc>
          <w:tcPr>
            <w:tcW w:w="1263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47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79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03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6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C</w:t>
            </w:r>
          </w:p>
        </w:tc>
        <w:tc>
          <w:tcPr>
            <w:tcW w:w="38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</w:t>
            </w:r>
          </w:p>
        </w:tc>
        <w:tc>
          <w:tcPr>
            <w:tcW w:w="38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N</w:t>
            </w:r>
          </w:p>
        </w:tc>
        <w:tc>
          <w:tcPr>
            <w:tcW w:w="38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WCPR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48.3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6.2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WT_WCPR_180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50.1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WT_WCPR_200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50.2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6.0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WT_WCPR_220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50.5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6.0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WT_WCPR_240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64.2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4.9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WT_WCPR_260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260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66.0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4.7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</w:tbl>
    <w:p>
      <w:pPr>
        <w:spacing w:after="0" w:line="48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</w:pPr>
    </w:p>
    <w:p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t>Table S2.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Elemental analysis of the WT WCPR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samples after </w:t>
      </w: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t>60 min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as compared to the WCPR.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270"/>
        <w:gridCol w:w="1417"/>
        <w:gridCol w:w="1500"/>
        <w:gridCol w:w="2598"/>
        <w:gridCol w:w="1197"/>
        <w:gridCol w:w="992"/>
        <w:gridCol w:w="992"/>
        <w:gridCol w:w="984"/>
      </w:tblGrid>
      <w:tr>
        <w:trPr>
          <w:trHeight w:val="554"/>
        </w:trPr>
        <w:tc>
          <w:tcPr>
            <w:tcW w:w="1263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Samples</w:t>
            </w:r>
          </w:p>
        </w:tc>
        <w:tc>
          <w:tcPr>
            <w:tcW w:w="547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°C</w:t>
            </w:r>
          </w:p>
        </w:tc>
        <w:tc>
          <w:tcPr>
            <w:tcW w:w="579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min</w:t>
            </w:r>
          </w:p>
        </w:tc>
        <w:tc>
          <w:tcPr>
            <w:tcW w:w="1003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O/WCPR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ratio</w:t>
            </w:r>
          </w:p>
        </w:tc>
        <w:tc>
          <w:tcPr>
            <w:tcW w:w="1608" w:type="pct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Elemental analysis (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wt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%)</w:t>
            </w:r>
          </w:p>
        </w:tc>
      </w:tr>
      <w:tr>
        <w:trPr>
          <w:trHeight w:val="372"/>
        </w:trPr>
        <w:tc>
          <w:tcPr>
            <w:tcW w:w="1263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47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79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03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6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C</w:t>
            </w:r>
          </w:p>
        </w:tc>
        <w:tc>
          <w:tcPr>
            <w:tcW w:w="38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</w:t>
            </w:r>
          </w:p>
        </w:tc>
        <w:tc>
          <w:tcPr>
            <w:tcW w:w="38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N</w:t>
            </w:r>
          </w:p>
        </w:tc>
        <w:tc>
          <w:tcPr>
            <w:tcW w:w="38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WCPR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48.3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6.2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WT_WCPR_180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49.7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WT_WCPR_200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50.1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WT_WCPR_220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55.4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5.5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WT_WCPR_240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65.3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4.7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  <w:tr>
        <w:tc>
          <w:tcPr>
            <w:tcW w:w="126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WT_WCPR_260</w:t>
            </w:r>
          </w:p>
        </w:tc>
        <w:tc>
          <w:tcPr>
            <w:tcW w:w="54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260</w:t>
            </w:r>
          </w:p>
        </w:tc>
        <w:tc>
          <w:tcPr>
            <w:tcW w:w="579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10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62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67.6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4.6</w:t>
            </w:r>
          </w:p>
        </w:tc>
        <w:tc>
          <w:tcPr>
            <w:tcW w:w="383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380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</w:p>
        </w:tc>
      </w:tr>
    </w:tbl>
    <w:p>
      <w:pP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br w:type="page"/>
      </w:r>
    </w:p>
    <w:p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lastRenderedPageBreak/>
        <w:t>Table S3.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HHV, enhancement factor and atomic ratios of the WT WCPR samples after </w:t>
      </w: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t>15 min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as compared to the WCPR.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517"/>
        <w:gridCol w:w="1088"/>
        <w:gridCol w:w="1150"/>
        <w:gridCol w:w="1999"/>
        <w:gridCol w:w="1163"/>
        <w:gridCol w:w="3080"/>
        <w:gridCol w:w="1039"/>
        <w:gridCol w:w="914"/>
      </w:tblGrid>
      <w:tr>
        <w:trPr>
          <w:trHeight w:val="477"/>
        </w:trPr>
        <w:tc>
          <w:tcPr>
            <w:tcW w:w="972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bookmarkStart w:id="2" w:name="_Hlk148357946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Samples</w:t>
            </w:r>
          </w:p>
        </w:tc>
        <w:tc>
          <w:tcPr>
            <w:tcW w:w="420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°C</w:t>
            </w:r>
          </w:p>
        </w:tc>
        <w:tc>
          <w:tcPr>
            <w:tcW w:w="444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min</w:t>
            </w:r>
          </w:p>
        </w:tc>
        <w:tc>
          <w:tcPr>
            <w:tcW w:w="772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O/WCPR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ratio</w:t>
            </w:r>
          </w:p>
        </w:tc>
        <w:tc>
          <w:tcPr>
            <w:tcW w:w="449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HHV,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kJ/kg</w:t>
            </w:r>
          </w:p>
        </w:tc>
        <w:tc>
          <w:tcPr>
            <w:tcW w:w="1189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bookmarkStart w:id="3" w:name="_Hlk148353421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Enhancement factor</w:t>
            </w:r>
            <w:bookmarkEnd w:id="3"/>
          </w:p>
        </w:tc>
        <w:tc>
          <w:tcPr>
            <w:tcW w:w="40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Atomic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ratio</w:t>
            </w:r>
          </w:p>
        </w:tc>
        <w:tc>
          <w:tcPr>
            <w:tcW w:w="353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1</w:t>
            </w:r>
          </w:p>
        </w:tc>
      </w:tr>
      <w:tr>
        <w:trPr>
          <w:trHeight w:val="450"/>
        </w:trPr>
        <w:tc>
          <w:tcPr>
            <w:tcW w:w="972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20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44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72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49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189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0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H/C</w:t>
            </w:r>
          </w:p>
        </w:tc>
        <w:tc>
          <w:tcPr>
            <w:tcW w:w="353" w:type="pct"/>
            <w:vMerge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WCPR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19179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WT_WCPR_180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19962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WT_WCPR_200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19950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WT_WCPR_220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20170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1.05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WT_WCPR_240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25555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1.33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1.33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WT_WCPR_260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260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bookmarkStart w:id="4" w:name="_Hlk148617552"/>
            <w:r>
              <w:rPr>
                <w:rFonts w:ascii="Times New Roman" w:hAnsi="Times New Roman" w:cs="Times New Roman"/>
                <w:sz w:val="24"/>
                <w:szCs w:val="24"/>
              </w:rPr>
              <w:t>26232</w:t>
            </w:r>
            <w:bookmarkEnd w:id="4"/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1.37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1.37</w:t>
            </w:r>
          </w:p>
        </w:tc>
      </w:tr>
    </w:tbl>
    <w:bookmarkEnd w:id="2"/>
    <w:p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iCs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>CE – carbon enrichment.</w:t>
      </w:r>
    </w:p>
    <w:p>
      <w:pPr>
        <w:rPr>
          <w:sz w:val="24"/>
          <w:szCs w:val="24"/>
          <w:lang w:val="en-GB"/>
        </w:rPr>
      </w:pPr>
    </w:p>
    <w:p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t>Table S4.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HHV, enhancement factor and atomic ratios of the WT WCPR samples after </w:t>
      </w:r>
      <w:r>
        <w:rPr>
          <w:rFonts w:ascii="Times New Roman" w:hAnsi="Times New Roman" w:cs="Times New Roman"/>
          <w:b/>
          <w:bCs/>
          <w:iCs/>
          <w:sz w:val="24"/>
          <w:szCs w:val="24"/>
          <w:lang w:val="en-GB"/>
        </w:rPr>
        <w:t>60 min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 xml:space="preserve"> as compared to the WCPR.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517"/>
        <w:gridCol w:w="1088"/>
        <w:gridCol w:w="1150"/>
        <w:gridCol w:w="1999"/>
        <w:gridCol w:w="1163"/>
        <w:gridCol w:w="3080"/>
        <w:gridCol w:w="1039"/>
        <w:gridCol w:w="914"/>
      </w:tblGrid>
      <w:tr>
        <w:trPr>
          <w:trHeight w:val="477"/>
        </w:trPr>
        <w:tc>
          <w:tcPr>
            <w:tcW w:w="972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Samples</w:t>
            </w:r>
          </w:p>
        </w:tc>
        <w:tc>
          <w:tcPr>
            <w:tcW w:w="420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°C</w:t>
            </w:r>
          </w:p>
        </w:tc>
        <w:tc>
          <w:tcPr>
            <w:tcW w:w="444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t, min</w:t>
            </w:r>
          </w:p>
        </w:tc>
        <w:tc>
          <w:tcPr>
            <w:tcW w:w="772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O/WCPR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ratio</w:t>
            </w:r>
          </w:p>
        </w:tc>
        <w:tc>
          <w:tcPr>
            <w:tcW w:w="449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HHV,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kJ/kg</w:t>
            </w:r>
          </w:p>
        </w:tc>
        <w:tc>
          <w:tcPr>
            <w:tcW w:w="1189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Enhancement factor</w:t>
            </w:r>
          </w:p>
        </w:tc>
        <w:tc>
          <w:tcPr>
            <w:tcW w:w="40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Atomic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ratio</w:t>
            </w:r>
          </w:p>
        </w:tc>
        <w:tc>
          <w:tcPr>
            <w:tcW w:w="353" w:type="pct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1</w:t>
            </w:r>
          </w:p>
        </w:tc>
      </w:tr>
      <w:tr>
        <w:trPr>
          <w:trHeight w:val="450"/>
        </w:trPr>
        <w:tc>
          <w:tcPr>
            <w:tcW w:w="972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20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44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72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49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189" w:type="pct"/>
            <w:vMerge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0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H/C</w:t>
            </w:r>
          </w:p>
        </w:tc>
        <w:tc>
          <w:tcPr>
            <w:tcW w:w="353" w:type="pct"/>
            <w:vMerge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WCPR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−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19179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WT_WCPR_180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19712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WT_WCPR_200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19906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WT_WCPR_220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21998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1.15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1.15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WT_WCPR_240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25912</w:t>
            </w:r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1.35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1.35</w:t>
            </w:r>
          </w:p>
        </w:tc>
      </w:tr>
      <w:tr>
        <w:tc>
          <w:tcPr>
            <w:tcW w:w="9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WT_WCPR_260</w:t>
            </w:r>
          </w:p>
        </w:tc>
        <w:tc>
          <w:tcPr>
            <w:tcW w:w="420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260</w:t>
            </w:r>
          </w:p>
        </w:tc>
        <w:tc>
          <w:tcPr>
            <w:tcW w:w="444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772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sl-SI"/>
              </w:rPr>
              <w:t>10</w:t>
            </w:r>
          </w:p>
        </w:tc>
        <w:tc>
          <w:tcPr>
            <w:tcW w:w="44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bookmarkStart w:id="5" w:name="_Hlk148617566"/>
            <w:r>
              <w:rPr>
                <w:rFonts w:ascii="Times New Roman" w:hAnsi="Times New Roman" w:cs="Times New Roman"/>
                <w:sz w:val="24"/>
                <w:szCs w:val="24"/>
              </w:rPr>
              <w:t>26878</w:t>
            </w:r>
            <w:bookmarkEnd w:id="5"/>
          </w:p>
        </w:tc>
        <w:tc>
          <w:tcPr>
            <w:tcW w:w="1189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1.40</w:t>
            </w:r>
          </w:p>
        </w:tc>
        <w:tc>
          <w:tcPr>
            <w:tcW w:w="401" w:type="pct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</w:t>
            </w:r>
          </w:p>
        </w:tc>
        <w:tc>
          <w:tcPr>
            <w:tcW w:w="353" w:type="pct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1.40</w:t>
            </w:r>
          </w:p>
        </w:tc>
      </w:tr>
    </w:tbl>
    <w:p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iCs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iCs/>
          <w:sz w:val="24"/>
          <w:szCs w:val="24"/>
          <w:lang w:val="en-GB"/>
        </w:rPr>
        <w:t>CE – carbon enrichment.</w:t>
      </w:r>
    </w:p>
    <w:p>
      <w:pPr>
        <w:rPr>
          <w:lang w:val="en-GB"/>
        </w:rPr>
      </w:pPr>
    </w:p>
    <w:sectPr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33612429"/>
      <w:docPartObj>
        <w:docPartGallery w:val="Page Numbers (Bottom of Page)"/>
        <w:docPartUnique/>
      </w:docPartObj>
    </w:sdtPr>
    <w:sdtEndPr>
      <w:rPr>
        <w:noProof/>
      </w:rPr>
    </w:sdtEndPr>
    <w:sdtContent>
      <w:p>
        <w:pPr>
          <w:pStyle w:val="Footer"/>
          <w:jc w:val="right"/>
        </w:pPr>
        <w:r>
          <w:t>S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1">
    <w:p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Style w:val="FootnoteReference"/>
        </w:rPr>
        <w:sym w:font="Symbol" w:char="F02A"/>
      </w:r>
      <w:r>
        <w:rPr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Corresponding authors:</w:t>
      </w:r>
    </w:p>
    <w:p>
      <w:pPr>
        <w:shd w:val="clear" w:color="auto" w:fill="FFFFFF"/>
        <w:spacing w:after="0" w:line="360" w:lineRule="auto"/>
        <w:rPr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E-mail address: </w:t>
      </w:r>
      <w:r>
        <w:rPr>
          <w:rFonts w:ascii="Times New Roman" w:hAnsi="Times New Roman" w:cs="Times New Roman"/>
          <w:sz w:val="24"/>
          <w:szCs w:val="24"/>
          <w:lang w:val="en-GB"/>
        </w:rPr>
        <w:t>andrii.kostyniuk@ki.si (</w:t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Andrii Kostyniuk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</w:p>
  </w:footnote>
  <w:footnote w:id="2">
    <w:p>
      <w:pPr>
        <w:shd w:val="clear" w:color="auto" w:fill="FFFFFF"/>
        <w:spacing w:after="0" w:line="360" w:lineRule="auto"/>
        <w:rPr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 xml:space="preserve">E-mail address: </w:t>
      </w:r>
      <w:r>
        <w:rPr>
          <w:rFonts w:ascii="Times New Roman" w:hAnsi="Times New Roman" w:cs="Times New Roman"/>
          <w:sz w:val="24"/>
          <w:szCs w:val="24"/>
          <w:lang w:val="en-GB"/>
        </w:rPr>
        <w:t>blaz.likozar@ki.si (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Blaž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Likozar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>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K0MDS3MDGwNLC0NLZQ0lEKTi0uzszPAykwrgUAVMcZUiwAAAA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EB389D3-9E53-4144-A636-5CD0061FE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pPr>
      <w:spacing w:after="0" w:line="240" w:lineRule="auto"/>
    </w:pPr>
    <w:rPr>
      <w:lang w:val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 w:eastAsia="ru-RU"/>
    </w:rPr>
  </w:style>
  <w:style w:type="character" w:customStyle="1" w:styleId="HTMLPreformattedChar">
    <w:name w:val="HTML Preformatted Char"/>
    <w:basedOn w:val="DefaultParagraphFont"/>
    <w:link w:val="HTMLPreformatted"/>
    <w:rPr>
      <w:rFonts w:ascii="Courier New" w:eastAsia="Times New Roman" w:hAnsi="Courier New" w:cs="Courier New"/>
      <w:sz w:val="20"/>
      <w:szCs w:val="20"/>
      <w:lang w:val="en-GB" w:eastAsia="ru-RU"/>
    </w:rPr>
  </w:style>
  <w:style w:type="character" w:styleId="FootnoteReference">
    <w:name w:val="footnote reference"/>
    <w:uiPriority w:val="99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val="en-GB" w:eastAsia="zh-CN"/>
    </w:rPr>
  </w:style>
  <w:style w:type="character" w:customStyle="1" w:styleId="FooterChar">
    <w:name w:val="Footer Char"/>
    <w:basedOn w:val="DefaultParagraphFont"/>
    <w:link w:val="Footer"/>
    <w:uiPriority w:val="99"/>
    <w:rPr>
      <w:rFonts w:eastAsiaTheme="minorEastAsia"/>
      <w:lang w:val="en-GB" w:eastAsia="zh-CN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2B38E-AEC3-46BA-A9EE-C92A70CBB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Andrii Kostyniuk</dc:creator>
  <cp:keywords/>
  <dc:description/>
  <cp:lastModifiedBy>Andrii Kostyniuk</cp:lastModifiedBy>
  <cp:revision>15</cp:revision>
  <dcterms:created xsi:type="dcterms:W3CDTF">2023-10-19T09:25:00Z</dcterms:created>
  <dcterms:modified xsi:type="dcterms:W3CDTF">2023-11-27T15:31:00Z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http://www.zotero.org/styles/acs-catalysis</vt:lpwstr>
  </property>
  <property fmtid="{D5CDD505-2E9C-101B-9397-08002B2CF9AE}" pid="3" name="Mendeley Recent Style Name 0_1">
    <vt:lpwstr>ACS Catalysis</vt:lpwstr>
  </property>
  <property fmtid="{D5CDD505-2E9C-101B-9397-08002B2CF9AE}" pid="4" name="Mendeley Recent Style Id 1_1">
    <vt:lpwstr>http://www.zotero.org/styles/angewandte-chemie</vt:lpwstr>
  </property>
  <property fmtid="{D5CDD505-2E9C-101B-9397-08002B2CF9AE}" pid="5" name="Mendeley Recent Style Name 1_1">
    <vt:lpwstr>Angewandte Chemie International Edition</vt:lpwstr>
  </property>
  <property fmtid="{D5CDD505-2E9C-101B-9397-08002B2CF9AE}" pid="6" name="Mendeley Recent Style Id 2_1">
    <vt:lpwstr>http://www.zotero.org/styles/applied-catalysis-b-environmental</vt:lpwstr>
  </property>
  <property fmtid="{D5CDD505-2E9C-101B-9397-08002B2CF9AE}" pid="7" name="Mendeley Recent Style Name 2_1">
    <vt:lpwstr>Applied Catalysis B: Environmental</vt:lpwstr>
  </property>
  <property fmtid="{D5CDD505-2E9C-101B-9397-08002B2CF9AE}" pid="8" name="Mendeley Recent Style Id 3_1">
    <vt:lpwstr>http://www.zotero.org/styles/chimia</vt:lpwstr>
  </property>
  <property fmtid="{D5CDD505-2E9C-101B-9397-08002B2CF9AE}" pid="9" name="Mendeley Recent Style Name 3_1">
    <vt:lpwstr>CHIMIA</vt:lpwstr>
  </property>
  <property fmtid="{D5CDD505-2E9C-101B-9397-08002B2CF9AE}" pid="10" name="Mendeley Recent Style Id 4_1">
    <vt:lpwstr>http://www.zotero.org/styles/chemical-engineering-journal</vt:lpwstr>
  </property>
  <property fmtid="{D5CDD505-2E9C-101B-9397-08002B2CF9AE}" pid="11" name="Mendeley Recent Style Name 4_1">
    <vt:lpwstr>Chemical Engineering Journal</vt:lpwstr>
  </property>
  <property fmtid="{D5CDD505-2E9C-101B-9397-08002B2CF9AE}" pid="12" name="Mendeley Recent Style Id 5_1">
    <vt:lpwstr>http://www.zotero.org/styles/industrial-and-engineering-chemistry-research</vt:lpwstr>
  </property>
  <property fmtid="{D5CDD505-2E9C-101B-9397-08002B2CF9AE}" pid="13" name="Mendeley Recent Style Name 5_1">
    <vt:lpwstr>Industrial &amp; Engineering Chemistry Research</vt:lpwstr>
  </property>
  <property fmtid="{D5CDD505-2E9C-101B-9397-08002B2CF9AE}" pid="14" name="Mendeley Recent Style Id 6_1">
    <vt:lpwstr>http://www.zotero.org/styles/international-journal-of-industrial-chemistry</vt:lpwstr>
  </property>
  <property fmtid="{D5CDD505-2E9C-101B-9397-08002B2CF9AE}" pid="15" name="Mendeley Recent Style Name 6_1">
    <vt:lpwstr>International Journal of Industrial Chemistry</vt:lpwstr>
  </property>
  <property fmtid="{D5CDD505-2E9C-101B-9397-08002B2CF9AE}" pid="16" name="Mendeley Recent Style Id 7_1">
    <vt:lpwstr>http://www.zotero.org/styles/journal-of-industrial-and-engineering-chemistry</vt:lpwstr>
  </property>
  <property fmtid="{D5CDD505-2E9C-101B-9397-08002B2CF9AE}" pid="17" name="Mendeley Recent Style Name 7_1">
    <vt:lpwstr>Journal of Industrial and Engineering Chemistry</vt:lpwstr>
  </property>
  <property fmtid="{D5CDD505-2E9C-101B-9397-08002B2CF9AE}" pid="18" name="Mendeley Recent Style Id 8_1">
    <vt:lpwstr>http://www.zotero.org/styles/nature-chemistry</vt:lpwstr>
  </property>
  <property fmtid="{D5CDD505-2E9C-101B-9397-08002B2CF9AE}" pid="19" name="Mendeley Recent Style Name 8_1">
    <vt:lpwstr>Nature Chemistry</vt:lpwstr>
  </property>
  <property fmtid="{D5CDD505-2E9C-101B-9397-08002B2CF9AE}" pid="20" name="Mendeley Recent Style Id 9_1">
    <vt:lpwstr>http://www.zotero.org/styles/renewable-energy</vt:lpwstr>
  </property>
  <property fmtid="{D5CDD505-2E9C-101B-9397-08002B2CF9AE}" pid="21" name="Mendeley Recent Style Name 9_1">
    <vt:lpwstr>Renewable Energy</vt:lpwstr>
  </property>
</Properties>
</file>