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pPr>
        <w:spacing w:after="0" w:line="480" w:lineRule="auto"/>
        <w:jc w:val="both"/>
        <w:rPr>
          <w:rFonts w:ascii="Times New Roman" w:hAnsi="Times New Roman" w:cs="Times New Roman"/>
          <w:b/>
          <w:bCs/>
          <w:sz w:val="28"/>
          <w:szCs w:val="28"/>
        </w:rPr>
      </w:pPr>
      <w:r>
        <w:rPr>
          <w:rFonts w:ascii="Times New Roman" w:hAnsi="Times New Roman" w:cs="Times New Roman"/>
          <w:b/>
          <w:bCs/>
          <w:sz w:val="28"/>
          <w:szCs w:val="28"/>
        </w:rPr>
        <w:t>Support Information</w:t>
      </w:r>
    </w:p>
    <w:p>
      <w:pPr>
        <w:spacing w:after="0" w:line="480" w:lineRule="auto"/>
        <w:jc w:val="both"/>
        <w:rPr>
          <w:rFonts w:ascii="Times New Roman" w:hAnsi="Times New Roman" w:cs="Times New Roman"/>
          <w:sz w:val="28"/>
          <w:szCs w:val="28"/>
        </w:rPr>
      </w:pPr>
    </w:p>
    <w:p>
      <w:pPr>
        <w:spacing w:after="0" w:line="480" w:lineRule="auto"/>
        <w:jc w:val="both"/>
        <w:rPr>
          <w:rFonts w:ascii="Times New Roman" w:hAnsi="Times New Roman" w:cs="Times New Roman"/>
          <w:sz w:val="28"/>
          <w:szCs w:val="28"/>
        </w:rPr>
      </w:pPr>
      <w:r>
        <w:rPr>
          <w:rFonts w:ascii="Times New Roman" w:hAnsi="Times New Roman" w:cs="Times New Roman"/>
          <w:sz w:val="28"/>
          <w:szCs w:val="28"/>
        </w:rPr>
        <w:t xml:space="preserve">Dry vs Wet Torrefaction of </w:t>
      </w:r>
      <w:proofErr w:type="spellStart"/>
      <w:r>
        <w:rPr>
          <w:rFonts w:ascii="Times New Roman" w:hAnsi="Times New Roman" w:cs="Times New Roman"/>
          <w:sz w:val="28"/>
          <w:szCs w:val="28"/>
        </w:rPr>
        <w:t>Oxytree</w:t>
      </w:r>
      <w:proofErr w:type="spellEnd"/>
      <w:r>
        <w:rPr>
          <w:rFonts w:ascii="Times New Roman" w:hAnsi="Times New Roman" w:cs="Times New Roman"/>
          <w:sz w:val="28"/>
          <w:szCs w:val="28"/>
        </w:rPr>
        <w:t xml:space="preserve"> Biomass: A Comparative Study on Fuel Properties and Energy Yield</w:t>
      </w:r>
    </w:p>
    <w:p>
      <w:pPr>
        <w:spacing w:after="0" w:line="480" w:lineRule="auto"/>
        <w:jc w:val="both"/>
        <w:rPr>
          <w:rFonts w:ascii="Times New Roman" w:hAnsi="Times New Roman" w:cs="Times New Roman"/>
          <w:bCs/>
          <w:sz w:val="24"/>
          <w:szCs w:val="24"/>
          <w:lang w:bidi="en-US"/>
        </w:rPr>
      </w:pPr>
      <w:bookmarkStart w:id="0" w:name="_Hlk208839507"/>
      <w:proofErr w:type="spellStart"/>
      <w:r>
        <w:rPr>
          <w:rFonts w:ascii="Times New Roman" w:hAnsi="Times New Roman" w:cs="Times New Roman"/>
          <w:bCs/>
          <w:sz w:val="24"/>
          <w:szCs w:val="24"/>
          <w:lang w:bidi="en-US"/>
        </w:rPr>
        <w:t>Hilal</w:t>
      </w:r>
      <w:proofErr w:type="spellEnd"/>
      <w:r>
        <w:rPr>
          <w:rFonts w:ascii="Times New Roman" w:hAnsi="Times New Roman" w:cs="Times New Roman"/>
          <w:bCs/>
          <w:sz w:val="24"/>
          <w:szCs w:val="24"/>
          <w:lang w:bidi="en-US"/>
        </w:rPr>
        <w:t xml:space="preserve"> </w:t>
      </w:r>
      <w:proofErr w:type="spellStart"/>
      <w:r>
        <w:rPr>
          <w:rFonts w:ascii="Times New Roman" w:hAnsi="Times New Roman" w:cs="Times New Roman"/>
          <w:bCs/>
          <w:sz w:val="24"/>
          <w:szCs w:val="24"/>
          <w:lang w:bidi="en-US"/>
        </w:rPr>
        <w:t>Unyay</w:t>
      </w:r>
      <w:r>
        <w:rPr>
          <w:rFonts w:ascii="Times New Roman" w:hAnsi="Times New Roman" w:cs="Times New Roman"/>
          <w:bCs/>
          <w:sz w:val="24"/>
          <w:szCs w:val="24"/>
          <w:vertAlign w:val="superscript"/>
          <w:lang w:bidi="en-US"/>
        </w:rPr>
        <w:t>a</w:t>
      </w:r>
      <w:proofErr w:type="spellEnd"/>
      <w:r>
        <w:rPr>
          <w:rFonts w:ascii="Times New Roman" w:hAnsi="Times New Roman" w:cs="Times New Roman"/>
          <w:bCs/>
          <w:sz w:val="24"/>
          <w:szCs w:val="24"/>
          <w:lang w:bidi="en-US"/>
        </w:rPr>
        <w:t xml:space="preserve">, Andrii </w:t>
      </w:r>
      <w:proofErr w:type="spellStart"/>
      <w:r>
        <w:rPr>
          <w:rFonts w:ascii="Times New Roman" w:hAnsi="Times New Roman" w:cs="Times New Roman"/>
          <w:bCs/>
          <w:sz w:val="24"/>
          <w:szCs w:val="24"/>
          <w:lang w:bidi="en-US"/>
        </w:rPr>
        <w:t>Kostyniuk</w:t>
      </w:r>
      <w:r>
        <w:rPr>
          <w:rFonts w:ascii="Times New Roman" w:hAnsi="Times New Roman" w:cs="Times New Roman"/>
          <w:bCs/>
          <w:sz w:val="24"/>
          <w:szCs w:val="24"/>
          <w:vertAlign w:val="superscript"/>
          <w:lang w:bidi="en-US"/>
        </w:rPr>
        <w:t>b</w:t>
      </w:r>
      <w:proofErr w:type="spellEnd"/>
      <w:r>
        <w:rPr>
          <w:rFonts w:ascii="Times New Roman" w:hAnsi="Times New Roman" w:cs="Times New Roman"/>
          <w:bCs/>
          <w:sz w:val="24"/>
          <w:szCs w:val="24"/>
          <w:vertAlign w:val="superscript"/>
          <w:lang w:bidi="en-US"/>
        </w:rPr>
        <w:t>*</w:t>
      </w:r>
      <w:r>
        <w:rPr>
          <w:rFonts w:ascii="Times New Roman" w:hAnsi="Times New Roman" w:cs="Times New Roman"/>
          <w:bCs/>
          <w:sz w:val="24"/>
          <w:szCs w:val="24"/>
          <w:lang w:bidi="en-US"/>
        </w:rPr>
        <w:t>,</w:t>
      </w:r>
      <w:r>
        <w:rPr>
          <w:rFonts w:ascii="Times New Roman" w:hAnsi="Times New Roman" w:cs="Times New Roman"/>
          <w:bCs/>
          <w:sz w:val="24"/>
          <w:szCs w:val="24"/>
          <w:vertAlign w:val="superscript"/>
          <w:lang w:bidi="en-US"/>
        </w:rPr>
        <w:t xml:space="preserve"> </w:t>
      </w:r>
      <w:r>
        <w:rPr>
          <w:rFonts w:ascii="Times New Roman" w:hAnsi="Times New Roman" w:cs="Times New Roman"/>
          <w:bCs/>
          <w:sz w:val="24"/>
          <w:szCs w:val="24"/>
          <w:lang w:bidi="en-US"/>
        </w:rPr>
        <w:t xml:space="preserve">Szymon </w:t>
      </w:r>
      <w:proofErr w:type="spellStart"/>
      <w:r>
        <w:rPr>
          <w:rFonts w:ascii="Times New Roman" w:hAnsi="Times New Roman" w:cs="Times New Roman"/>
          <w:bCs/>
          <w:sz w:val="24"/>
          <w:szCs w:val="24"/>
          <w:lang w:bidi="en-US"/>
        </w:rPr>
        <w:t>Szufa</w:t>
      </w:r>
      <w:r>
        <w:rPr>
          <w:rFonts w:ascii="Times New Roman" w:hAnsi="Times New Roman" w:cs="Times New Roman"/>
          <w:bCs/>
          <w:sz w:val="24"/>
          <w:szCs w:val="24"/>
          <w:vertAlign w:val="superscript"/>
          <w:lang w:bidi="en-US"/>
        </w:rPr>
        <w:t>a</w:t>
      </w:r>
      <w:proofErr w:type="spellEnd"/>
      <w:r>
        <w:rPr>
          <w:rFonts w:ascii="Times New Roman" w:hAnsi="Times New Roman" w:cs="Times New Roman"/>
          <w:bCs/>
          <w:sz w:val="24"/>
          <w:szCs w:val="24"/>
          <w:lang w:bidi="en-US"/>
        </w:rPr>
        <w:t xml:space="preserve">, Artur </w:t>
      </w:r>
      <w:proofErr w:type="spellStart"/>
      <w:r>
        <w:rPr>
          <w:rFonts w:ascii="Times New Roman" w:hAnsi="Times New Roman" w:cs="Times New Roman"/>
          <w:bCs/>
          <w:sz w:val="24"/>
          <w:szCs w:val="24"/>
          <w:lang w:bidi="en-US"/>
        </w:rPr>
        <w:t>Lewandowski</w:t>
      </w:r>
      <w:r>
        <w:rPr>
          <w:rFonts w:ascii="Times New Roman" w:hAnsi="Times New Roman" w:cs="Times New Roman"/>
          <w:bCs/>
          <w:sz w:val="24"/>
          <w:szCs w:val="24"/>
          <w:vertAlign w:val="superscript"/>
          <w:lang w:bidi="en-US"/>
        </w:rPr>
        <w:t>a</w:t>
      </w:r>
      <w:proofErr w:type="spellEnd"/>
      <w:r>
        <w:rPr>
          <w:rFonts w:ascii="Times New Roman" w:hAnsi="Times New Roman" w:cs="Times New Roman"/>
          <w:bCs/>
          <w:sz w:val="24"/>
          <w:szCs w:val="24"/>
          <w:lang w:bidi="en-US"/>
        </w:rPr>
        <w:t xml:space="preserve">, </w:t>
      </w:r>
      <w:bookmarkStart w:id="1" w:name="_Hlk211854681"/>
      <w:proofErr w:type="spellStart"/>
      <w:r>
        <w:rPr>
          <w:rFonts w:ascii="Times New Roman" w:hAnsi="Times New Roman" w:cs="Times New Roman"/>
          <w:bCs/>
          <w:sz w:val="24"/>
          <w:szCs w:val="24"/>
          <w:lang w:bidi="en-US"/>
        </w:rPr>
        <w:t>Blaž</w:t>
      </w:r>
      <w:proofErr w:type="spellEnd"/>
      <w:r>
        <w:rPr>
          <w:rFonts w:ascii="Times New Roman" w:hAnsi="Times New Roman" w:cs="Times New Roman"/>
          <w:bCs/>
          <w:sz w:val="24"/>
          <w:szCs w:val="24"/>
          <w:lang w:bidi="en-US"/>
        </w:rPr>
        <w:t xml:space="preserve"> </w:t>
      </w:r>
      <w:proofErr w:type="spellStart"/>
      <w:r>
        <w:rPr>
          <w:rFonts w:ascii="Times New Roman" w:hAnsi="Times New Roman" w:cs="Times New Roman"/>
          <w:bCs/>
          <w:sz w:val="24"/>
          <w:szCs w:val="24"/>
          <w:lang w:bidi="en-US"/>
        </w:rPr>
        <w:t>Likozar</w:t>
      </w:r>
      <w:r>
        <w:rPr>
          <w:rFonts w:ascii="Times New Roman" w:hAnsi="Times New Roman" w:cs="Times New Roman"/>
          <w:bCs/>
          <w:sz w:val="24"/>
          <w:szCs w:val="24"/>
          <w:vertAlign w:val="superscript"/>
          <w:lang w:bidi="en-US"/>
        </w:rPr>
        <w:t>b</w:t>
      </w:r>
      <w:proofErr w:type="spellEnd"/>
      <w:r>
        <w:rPr>
          <w:rFonts w:ascii="Times New Roman" w:hAnsi="Times New Roman" w:cs="Times New Roman"/>
          <w:bCs/>
          <w:sz w:val="24"/>
          <w:szCs w:val="24"/>
          <w:lang w:bidi="en-US"/>
        </w:rPr>
        <w:t xml:space="preserve">, Grzegorz </w:t>
      </w:r>
      <w:proofErr w:type="spellStart"/>
      <w:r>
        <w:rPr>
          <w:rFonts w:ascii="Times New Roman" w:hAnsi="Times New Roman" w:cs="Times New Roman"/>
          <w:bCs/>
          <w:sz w:val="24"/>
          <w:szCs w:val="24"/>
          <w:lang w:bidi="en-US"/>
        </w:rPr>
        <w:t>Wielgosinski</w:t>
      </w:r>
      <w:bookmarkEnd w:id="1"/>
      <w:r>
        <w:rPr>
          <w:rFonts w:ascii="Times New Roman" w:hAnsi="Times New Roman" w:cs="Times New Roman"/>
          <w:bCs/>
          <w:sz w:val="24"/>
          <w:szCs w:val="24"/>
          <w:vertAlign w:val="superscript"/>
          <w:lang w:bidi="en-US"/>
        </w:rPr>
        <w:t>a</w:t>
      </w:r>
      <w:proofErr w:type="spellEnd"/>
    </w:p>
    <w:bookmarkEnd w:id="0"/>
    <w:p>
      <w:pPr>
        <w:spacing w:after="0"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vertAlign w:val="superscript"/>
        </w:rPr>
        <w:t>a</w:t>
      </w:r>
      <w:r>
        <w:rPr>
          <w:rFonts w:ascii="Times New Roman" w:hAnsi="Times New Roman" w:cs="Times New Roman"/>
          <w:i/>
          <w:sz w:val="24"/>
          <w:szCs w:val="24"/>
        </w:rPr>
        <w:t>Faculty</w:t>
      </w:r>
      <w:proofErr w:type="spellEnd"/>
      <w:r>
        <w:rPr>
          <w:rFonts w:ascii="Times New Roman" w:hAnsi="Times New Roman" w:cs="Times New Roman"/>
          <w:i/>
          <w:sz w:val="24"/>
          <w:szCs w:val="24"/>
        </w:rPr>
        <w:t xml:space="preserve"> of Process and Environmental Engineering, Lodz University of Technology, </w:t>
      </w:r>
      <w:proofErr w:type="spellStart"/>
      <w:r>
        <w:rPr>
          <w:rFonts w:ascii="Times New Roman" w:hAnsi="Times New Roman" w:cs="Times New Roman"/>
          <w:i/>
          <w:sz w:val="24"/>
          <w:szCs w:val="24"/>
        </w:rPr>
        <w:t>Wolczanska</w:t>
      </w:r>
      <w:proofErr w:type="spellEnd"/>
      <w:r>
        <w:rPr>
          <w:rFonts w:ascii="Times New Roman" w:hAnsi="Times New Roman" w:cs="Times New Roman"/>
          <w:i/>
          <w:sz w:val="24"/>
          <w:szCs w:val="24"/>
        </w:rPr>
        <w:t xml:space="preserve"> 213, 90-924, Lodz, Poland.</w:t>
      </w:r>
    </w:p>
    <w:p>
      <w:pPr>
        <w:spacing w:after="0"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vertAlign w:val="superscript"/>
        </w:rPr>
        <w:t>b</w:t>
      </w:r>
      <w:r>
        <w:rPr>
          <w:rFonts w:ascii="Times New Roman" w:hAnsi="Times New Roman" w:cs="Times New Roman"/>
          <w:i/>
          <w:sz w:val="24"/>
          <w:szCs w:val="24"/>
        </w:rPr>
        <w:t>Department</w:t>
      </w:r>
      <w:proofErr w:type="spellEnd"/>
      <w:r>
        <w:rPr>
          <w:rFonts w:ascii="Times New Roman" w:hAnsi="Times New Roman" w:cs="Times New Roman"/>
          <w:i/>
          <w:sz w:val="24"/>
          <w:szCs w:val="24"/>
        </w:rPr>
        <w:t xml:space="preserve"> of Catalysis and Chemical Reaction Engineering, National Institute of Chemistry, </w:t>
      </w:r>
      <w:proofErr w:type="spellStart"/>
      <w:r>
        <w:rPr>
          <w:rFonts w:ascii="Times New Roman" w:hAnsi="Times New Roman" w:cs="Times New Roman"/>
          <w:i/>
          <w:sz w:val="24"/>
          <w:szCs w:val="24"/>
        </w:rPr>
        <w:t>Hajdrihova</w:t>
      </w:r>
      <w:proofErr w:type="spellEnd"/>
      <w:r>
        <w:rPr>
          <w:rFonts w:ascii="Times New Roman" w:hAnsi="Times New Roman" w:cs="Times New Roman"/>
          <w:i/>
          <w:sz w:val="24"/>
          <w:szCs w:val="24"/>
        </w:rPr>
        <w:t xml:space="preserve"> 19, Ljubljana, 1001, Slovenia.</w:t>
      </w:r>
    </w:p>
    <w:p/>
    <w:p>
      <w:r>
        <w:br w:type="page"/>
      </w:r>
    </w:p>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2"/>
      </w:tblGrid>
      <w:tr>
        <w:tc>
          <w:tcPr>
            <w:tcW w:w="9062" w:type="dxa"/>
          </w:tcPr>
          <w:p>
            <w:pPr>
              <w:jc w:val="both"/>
              <w:rPr>
                <w:rFonts w:ascii="Times New Roman" w:hAnsi="Times New Roman" w:cs="Times New Roman"/>
                <w:b/>
                <w:bCs/>
                <w:sz w:val="24"/>
                <w:szCs w:val="24"/>
              </w:rPr>
            </w:pPr>
            <w:r>
              <w:rPr>
                <w:rFonts w:ascii="Times New Roman" w:hAnsi="Times New Roman" w:cs="Times New Roman"/>
                <w:b/>
                <w:bCs/>
                <w:sz w:val="24"/>
                <w:szCs w:val="24"/>
              </w:rPr>
              <w:t>(a)</w:t>
            </w:r>
          </w:p>
        </w:tc>
      </w:tr>
      <w:tr>
        <w:tc>
          <w:tcPr>
            <w:tcW w:w="9062" w:type="dxa"/>
          </w:tcPr>
          <w:p>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100452" cy="2268220"/>
                  <wp:effectExtent l="0" t="0" r="5080" b="0"/>
                  <wp:docPr id="1239400333" name="Picture 5" descr="Diagram of a gas cylinder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400333" name="Picture 5" descr="Diagram of a gas cylinder with text&#10;&#10;AI-generated content may be incorrect."/>
                          <pic:cNvPicPr/>
                        </pic:nvPicPr>
                        <pic:blipFill rotWithShape="1">
                          <a:blip r:embed="rId7" cstate="print">
                            <a:extLst>
                              <a:ext uri="{28A0092B-C50C-407E-A947-70E740481C1C}">
                                <a14:useLocalDpi xmlns:a14="http://schemas.microsoft.com/office/drawing/2010/main" val="0"/>
                              </a:ext>
                            </a:extLst>
                          </a:blip>
                          <a:srcRect l="16967" t="40272" r="16617" b="41330"/>
                          <a:stretch/>
                        </pic:blipFill>
                        <pic:spPr bwMode="auto">
                          <a:xfrm>
                            <a:off x="0" y="0"/>
                            <a:ext cx="5110792" cy="2272818"/>
                          </a:xfrm>
                          <a:prstGeom prst="rect">
                            <a:avLst/>
                          </a:prstGeom>
                          <a:ln>
                            <a:noFill/>
                          </a:ln>
                          <a:extLst>
                            <a:ext uri="{53640926-AAD7-44D8-BBD7-CCE9431645EC}">
                              <a14:shadowObscured xmlns:a14="http://schemas.microsoft.com/office/drawing/2010/main"/>
                            </a:ext>
                          </a:extLst>
                        </pic:spPr>
                      </pic:pic>
                    </a:graphicData>
                  </a:graphic>
                </wp:inline>
              </w:drawing>
            </w:r>
          </w:p>
        </w:tc>
      </w:tr>
      <w:tr>
        <w:tc>
          <w:tcPr>
            <w:tcW w:w="9062" w:type="dxa"/>
          </w:tcPr>
          <w:p>
            <w:pPr>
              <w:jc w:val="both"/>
              <w:rPr>
                <w:rFonts w:ascii="Times New Roman" w:hAnsi="Times New Roman" w:cs="Times New Roman"/>
                <w:sz w:val="24"/>
                <w:szCs w:val="24"/>
              </w:rPr>
            </w:pPr>
            <w:r>
              <w:rPr>
                <w:rFonts w:ascii="Times New Roman" w:hAnsi="Times New Roman" w:cs="Times New Roman"/>
                <w:b/>
                <w:bCs/>
                <w:sz w:val="24"/>
                <w:szCs w:val="24"/>
              </w:rPr>
              <w:t>(b)</w:t>
            </w:r>
          </w:p>
        </w:tc>
      </w:tr>
      <w:tr>
        <w:tc>
          <w:tcPr>
            <w:tcW w:w="9062"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14"/>
              <w:gridCol w:w="5232"/>
            </w:tblGrid>
            <w:tr>
              <w:tc>
                <w:tcPr>
                  <w:tcW w:w="3681" w:type="dxa"/>
                </w:tcPr>
                <w:p>
                  <w:pPr>
                    <w:jc w:val="both"/>
                    <w:rPr>
                      <w:rFonts w:ascii="Times New Roman" w:hAnsi="Times New Roman" w:cs="Times New Roman"/>
                      <w:sz w:val="24"/>
                      <w:szCs w:val="24"/>
                    </w:rPr>
                  </w:pPr>
                  <w:r>
                    <w:rPr>
                      <w:rFonts w:ascii="Times New Roman" w:hAnsi="Times New Roman" w:cs="Times New Roman"/>
                      <w:bCs/>
                      <w:noProof/>
                      <w:sz w:val="24"/>
                      <w:szCs w:val="24"/>
                    </w:rPr>
                    <w:drawing>
                      <wp:inline distT="0" distB="0" distL="0" distR="0">
                        <wp:extent cx="2091109" cy="2309750"/>
                        <wp:effectExtent l="0" t="0" r="444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r="50653" b="13928"/>
                                <a:stretch/>
                              </pic:blipFill>
                              <pic:spPr bwMode="auto">
                                <a:xfrm>
                                  <a:off x="0" y="0"/>
                                  <a:ext cx="2104315" cy="232433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381" w:type="dxa"/>
                </w:tcPr>
                <w:p>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049285" cy="2428504"/>
                        <wp:effectExtent l="0" t="0" r="0" b="0"/>
                        <wp:docPr id="14" name="Picture 4" descr="Reactor Systems - National Institute of Chemistry">
                          <a:extLst xmlns:a="http://schemas.openxmlformats.org/drawingml/2006/main">
                            <a:ext uri="{FF2B5EF4-FFF2-40B4-BE49-F238E27FC236}">
                              <a16:creationId xmlns:a16="http://schemas.microsoft.com/office/drawing/2014/main" id="{3354F538-4F8D-4C57-9A15-AC59E6CAA1E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descr="Reactor Systems - National Institute of Chemistry">
                                  <a:extLst>
                                    <a:ext uri="{FF2B5EF4-FFF2-40B4-BE49-F238E27FC236}">
                                      <a16:creationId xmlns:a16="http://schemas.microsoft.com/office/drawing/2014/main" id="{3354F538-4F8D-4C57-9A15-AC59E6CAA1E0}"/>
                                    </a:ext>
                                  </a:extLst>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46078" cy="2505591"/>
                                </a:xfrm>
                                <a:prstGeom prst="rect">
                                  <a:avLst/>
                                </a:prstGeom>
                                <a:noFill/>
                              </pic:spPr>
                            </pic:pic>
                          </a:graphicData>
                        </a:graphic>
                      </wp:inline>
                    </w:drawing>
                  </w:r>
                </w:p>
              </w:tc>
            </w:tr>
          </w:tbl>
          <w:p>
            <w:pPr>
              <w:jc w:val="both"/>
              <w:rPr>
                <w:rFonts w:ascii="Times New Roman" w:hAnsi="Times New Roman" w:cs="Times New Roman"/>
                <w:sz w:val="24"/>
                <w:szCs w:val="24"/>
              </w:rPr>
            </w:pPr>
          </w:p>
        </w:tc>
      </w:tr>
    </w:tbl>
    <w:p>
      <w:pPr>
        <w:spacing w:after="0" w:line="480" w:lineRule="auto"/>
        <w:rPr>
          <w:rFonts w:ascii="Times New Roman" w:hAnsi="Times New Roman" w:cs="Times New Roman"/>
          <w:sz w:val="24"/>
          <w:szCs w:val="24"/>
        </w:rPr>
      </w:pPr>
      <w:r>
        <w:rPr>
          <w:rFonts w:ascii="Times New Roman" w:hAnsi="Times New Roman" w:cs="Times New Roman"/>
          <w:b/>
          <w:bCs/>
          <w:sz w:val="24"/>
          <w:szCs w:val="24"/>
        </w:rPr>
        <w:t>Fig. S1.</w:t>
      </w:r>
      <w:r>
        <w:rPr>
          <w:rFonts w:ascii="Times New Roman" w:hAnsi="Times New Roman" w:cs="Times New Roman"/>
          <w:sz w:val="24"/>
          <w:szCs w:val="24"/>
        </w:rPr>
        <w:t xml:space="preserve"> Schematic representations of </w:t>
      </w:r>
      <w:proofErr w:type="spellStart"/>
      <w:r>
        <w:rPr>
          <w:rFonts w:ascii="Times New Roman" w:hAnsi="Times New Roman" w:cs="Times New Roman"/>
          <w:sz w:val="24"/>
          <w:szCs w:val="24"/>
        </w:rPr>
        <w:t>oxytree</w:t>
      </w:r>
      <w:proofErr w:type="spellEnd"/>
      <w:r>
        <w:rPr>
          <w:rFonts w:ascii="Times New Roman" w:hAnsi="Times New Roman" w:cs="Times New Roman"/>
          <w:sz w:val="24"/>
          <w:szCs w:val="24"/>
        </w:rPr>
        <w:t xml:space="preserve"> torrefaction processes: (a) DT; (b) WT using batch reactors (Parr 5000 Multiple Reactor System).</w:t>
      </w:r>
      <w:r>
        <w:rPr>
          <w:rFonts w:ascii="Times New Roman" w:hAnsi="Times New Roman" w:cs="Times New Roman"/>
          <w:sz w:val="24"/>
          <w:szCs w:val="24"/>
        </w:rPr>
        <w:br w:type="page"/>
      </w:r>
    </w:p>
    <w:p>
      <w:pPr>
        <w:spacing w:after="0" w:line="480" w:lineRule="auto"/>
        <w:jc w:val="both"/>
        <w:rPr>
          <w:rFonts w:ascii="Times New Roman" w:hAnsi="Times New Roman" w:cs="Times New Roman"/>
          <w:b/>
          <w:bCs/>
          <w:sz w:val="24"/>
          <w:szCs w:val="24"/>
        </w:rPr>
        <w:sectPr>
          <w:footerReference w:type="default" r:id="rId10"/>
          <w:pgSz w:w="11906" w:h="16838"/>
          <w:pgMar w:top="1418" w:right="1418" w:bottom="1418" w:left="1418" w:header="709" w:footer="709" w:gutter="0"/>
          <w:lnNumType w:countBy="1" w:restart="continuous"/>
          <w:cols w:space="708"/>
          <w:docGrid w:linePitch="360"/>
        </w:sectPr>
      </w:pPr>
    </w:p>
    <w:p>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Table S1.</w:t>
      </w:r>
      <w:r>
        <w:rPr>
          <w:rFonts w:ascii="Times New Roman" w:hAnsi="Times New Roman" w:cs="Times New Roman"/>
          <w:sz w:val="24"/>
          <w:szCs w:val="24"/>
        </w:rPr>
        <w:t xml:space="preserve"> Analytical results of raw and DT </w:t>
      </w:r>
      <w:proofErr w:type="spellStart"/>
      <w:r>
        <w:rPr>
          <w:rFonts w:ascii="Times New Roman" w:hAnsi="Times New Roman" w:cs="Times New Roman"/>
          <w:sz w:val="24"/>
          <w:szCs w:val="24"/>
        </w:rPr>
        <w:t>oxytree</w:t>
      </w:r>
      <w:proofErr w:type="spellEnd"/>
      <w:r>
        <w:rPr>
          <w:rFonts w:ascii="Times New Roman" w:hAnsi="Times New Roman" w:cs="Times New Roman"/>
          <w:sz w:val="24"/>
          <w:szCs w:val="24"/>
        </w:rPr>
        <w:t>.</w:t>
      </w:r>
    </w:p>
    <w:tbl>
      <w:tblPr>
        <w:tblW w:w="5000" w:type="pct"/>
        <w:jc w:val="center"/>
        <w:tblBorders>
          <w:top w:val="single" w:sz="4" w:space="0" w:color="auto"/>
          <w:bottom w:val="single" w:sz="4" w:space="0" w:color="auto"/>
        </w:tblBorders>
        <w:tblLook w:val="00A0" w:firstRow="1" w:lastRow="0" w:firstColumn="1" w:lastColumn="0" w:noHBand="0" w:noVBand="0"/>
      </w:tblPr>
      <w:tblGrid>
        <w:gridCol w:w="1003"/>
        <w:gridCol w:w="1219"/>
        <w:gridCol w:w="1182"/>
        <w:gridCol w:w="1045"/>
        <w:gridCol w:w="1012"/>
        <w:gridCol w:w="1009"/>
        <w:gridCol w:w="1219"/>
        <w:gridCol w:w="1443"/>
        <w:gridCol w:w="1423"/>
        <w:gridCol w:w="1424"/>
        <w:gridCol w:w="1010"/>
        <w:gridCol w:w="1013"/>
      </w:tblGrid>
      <w:tr>
        <w:trPr>
          <w:trHeight w:val="1380"/>
          <w:jc w:val="center"/>
        </w:trPr>
        <w:tc>
          <w:tcPr>
            <w:tcW w:w="365"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Time</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(min)</w:t>
            </w:r>
          </w:p>
        </w:tc>
        <w:tc>
          <w:tcPr>
            <w:tcW w:w="442"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Temp</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t>
            </w:r>
            <w:r>
              <w:rPr>
                <w:rFonts w:ascii="Times New Roman" w:eastAsia="Times New Roman" w:hAnsi="Times New Roman" w:cs="Times New Roman"/>
                <w:b/>
                <w:bCs/>
                <w:color w:val="000000"/>
                <w:sz w:val="24"/>
                <w:szCs w:val="24"/>
              </w:rPr>
              <w:sym w:font="Symbol" w:char="F0B0"/>
            </w:r>
            <w:r>
              <w:rPr>
                <w:rFonts w:ascii="Times New Roman" w:eastAsia="Times New Roman" w:hAnsi="Times New Roman" w:cs="Times New Roman"/>
                <w:b/>
                <w:bCs/>
                <w:color w:val="000000"/>
                <w:sz w:val="24"/>
                <w:szCs w:val="24"/>
              </w:rPr>
              <w:t>C)</w:t>
            </w:r>
          </w:p>
        </w:tc>
        <w:tc>
          <w:tcPr>
            <w:tcW w:w="429"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t>
            </w:r>
          </w:p>
        </w:tc>
        <w:tc>
          <w:tcPr>
            <w:tcW w:w="380"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t>
            </w:r>
          </w:p>
        </w:tc>
        <w:tc>
          <w:tcPr>
            <w:tcW w:w="368"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N</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t>
            </w:r>
          </w:p>
        </w:tc>
        <w:tc>
          <w:tcPr>
            <w:tcW w:w="367"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Ash </w:t>
            </w:r>
          </w:p>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color w:val="000000"/>
                <w:sz w:val="24"/>
                <w:szCs w:val="24"/>
              </w:rPr>
              <w:t>(%)</w:t>
            </w:r>
          </w:p>
        </w:tc>
        <w:tc>
          <w:tcPr>
            <w:tcW w:w="442"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O</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t>
            </w:r>
          </w:p>
        </w:tc>
        <w:tc>
          <w:tcPr>
            <w:tcW w:w="441"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Degree of torrefaction</w:t>
            </w:r>
          </w:p>
        </w:tc>
        <w:tc>
          <w:tcPr>
            <w:tcW w:w="515"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HHV</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(MJ/kg)</w:t>
            </w:r>
          </w:p>
        </w:tc>
        <w:tc>
          <w:tcPr>
            <w:tcW w:w="515"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proofErr w:type="spellStart"/>
            <w:r>
              <w:rPr>
                <w:rFonts w:ascii="Times New Roman" w:eastAsia="Times New Roman" w:hAnsi="Times New Roman" w:cs="Times New Roman"/>
                <w:b/>
                <w:bCs/>
                <w:color w:val="000000"/>
                <w:sz w:val="24"/>
                <w:szCs w:val="24"/>
              </w:rPr>
              <w:t>HHV</w:t>
            </w:r>
            <w:r>
              <w:rPr>
                <w:rFonts w:ascii="Times New Roman" w:eastAsia="Times New Roman" w:hAnsi="Times New Roman" w:cs="Times New Roman"/>
                <w:b/>
                <w:bCs/>
                <w:color w:val="000000"/>
                <w:sz w:val="24"/>
                <w:szCs w:val="24"/>
                <w:vertAlign w:val="subscript"/>
              </w:rPr>
              <w:t>increase</w:t>
            </w:r>
            <w:proofErr w:type="spellEnd"/>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t>
            </w:r>
          </w:p>
        </w:tc>
        <w:tc>
          <w:tcPr>
            <w:tcW w:w="367"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O/C</w:t>
            </w:r>
          </w:p>
        </w:tc>
        <w:tc>
          <w:tcPr>
            <w:tcW w:w="368"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H/C</w:t>
            </w:r>
          </w:p>
        </w:tc>
      </w:tr>
      <w:tr>
        <w:trPr>
          <w:trHeight w:val="340"/>
          <w:jc w:val="center"/>
        </w:trPr>
        <w:tc>
          <w:tcPr>
            <w:tcW w:w="365"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Raw</w:t>
            </w:r>
          </w:p>
        </w:tc>
        <w:tc>
          <w:tcPr>
            <w:tcW w:w="442"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429"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45.14</w:t>
            </w:r>
          </w:p>
        </w:tc>
        <w:tc>
          <w:tcPr>
            <w:tcW w:w="380"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6.29</w:t>
            </w:r>
          </w:p>
        </w:tc>
        <w:tc>
          <w:tcPr>
            <w:tcW w:w="368"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0.91</w:t>
            </w:r>
          </w:p>
        </w:tc>
        <w:tc>
          <w:tcPr>
            <w:tcW w:w="367"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3.24</w:t>
            </w:r>
          </w:p>
        </w:tc>
        <w:tc>
          <w:tcPr>
            <w:tcW w:w="442" w:type="pct"/>
            <w:tcBorders>
              <w:top w:val="single" w:sz="4" w:space="0" w:color="auto"/>
              <w:bottom w:val="single" w:sz="4" w:space="0" w:color="auto"/>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44.39</w:t>
            </w:r>
          </w:p>
        </w:tc>
        <w:tc>
          <w:tcPr>
            <w:tcW w:w="441"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515" w:type="pct"/>
            <w:tcBorders>
              <w:top w:val="single" w:sz="4" w:space="0" w:color="auto"/>
              <w:bottom w:val="single" w:sz="4" w:space="0" w:color="auto"/>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16.35</w:t>
            </w:r>
          </w:p>
        </w:tc>
        <w:tc>
          <w:tcPr>
            <w:tcW w:w="515"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367"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0.74</w:t>
            </w:r>
          </w:p>
        </w:tc>
        <w:tc>
          <w:tcPr>
            <w:tcW w:w="368" w:type="pct"/>
            <w:tcBorders>
              <w:top w:val="single" w:sz="4" w:space="0" w:color="auto"/>
              <w:bottom w:val="single" w:sz="4" w:space="0" w:color="auto"/>
            </w:tcBorders>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1.67</w:t>
            </w:r>
          </w:p>
        </w:tc>
      </w:tr>
      <w:tr>
        <w:trPr>
          <w:trHeight w:val="340"/>
          <w:jc w:val="center"/>
        </w:trPr>
        <w:tc>
          <w:tcPr>
            <w:tcW w:w="365" w:type="pct"/>
            <w:vMerge w:val="restar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c>
          <w:tcPr>
            <w:tcW w:w="442"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429"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48.40</w:t>
            </w:r>
          </w:p>
        </w:tc>
        <w:tc>
          <w:tcPr>
            <w:tcW w:w="380"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5.78</w:t>
            </w:r>
          </w:p>
        </w:tc>
        <w:tc>
          <w:tcPr>
            <w:tcW w:w="368"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w:t>
            </w:r>
          </w:p>
        </w:tc>
        <w:tc>
          <w:tcPr>
            <w:tcW w:w="367"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4.20</w:t>
            </w:r>
          </w:p>
        </w:tc>
        <w:tc>
          <w:tcPr>
            <w:tcW w:w="442"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40.51</w:t>
            </w:r>
          </w:p>
        </w:tc>
        <w:tc>
          <w:tcPr>
            <w:tcW w:w="441"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1.06</w:t>
            </w:r>
          </w:p>
        </w:tc>
        <w:tc>
          <w:tcPr>
            <w:tcW w:w="515"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17.41</w:t>
            </w:r>
          </w:p>
        </w:tc>
        <w:tc>
          <w:tcPr>
            <w:tcW w:w="515"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6.48</w:t>
            </w:r>
          </w:p>
        </w:tc>
        <w:tc>
          <w:tcPr>
            <w:tcW w:w="367"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0.63</w:t>
            </w:r>
          </w:p>
        </w:tc>
        <w:tc>
          <w:tcPr>
            <w:tcW w:w="368"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1.43</w:t>
            </w:r>
          </w:p>
        </w:tc>
      </w:tr>
      <w:tr>
        <w:trPr>
          <w:trHeight w:val="340"/>
          <w:jc w:val="center"/>
        </w:trPr>
        <w:tc>
          <w:tcPr>
            <w:tcW w:w="365" w:type="pct"/>
            <w:vMerge/>
            <w:tcBorders>
              <w:top w:val="nil"/>
              <w:bottom w:val="nil"/>
            </w:tcBorders>
            <w:vAlign w:val="center"/>
            <w:hideMark/>
          </w:tcPr>
          <w:p>
            <w:pPr>
              <w:spacing w:after="0" w:line="480" w:lineRule="auto"/>
              <w:jc w:val="center"/>
              <w:rPr>
                <w:rFonts w:ascii="Times New Roman" w:eastAsia="Times New Roman" w:hAnsi="Times New Roman" w:cs="Times New Roman"/>
                <w:color w:val="000000"/>
                <w:sz w:val="24"/>
                <w:szCs w:val="24"/>
              </w:rPr>
            </w:pPr>
          </w:p>
        </w:tc>
        <w:tc>
          <w:tcPr>
            <w:tcW w:w="442"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w:t>
            </w:r>
          </w:p>
        </w:tc>
        <w:tc>
          <w:tcPr>
            <w:tcW w:w="429"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49.30</w:t>
            </w:r>
          </w:p>
        </w:tc>
        <w:tc>
          <w:tcPr>
            <w:tcW w:w="380"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5.89</w:t>
            </w:r>
          </w:p>
        </w:tc>
        <w:tc>
          <w:tcPr>
            <w:tcW w:w="368"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1.23</w:t>
            </w:r>
          </w:p>
        </w:tc>
        <w:tc>
          <w:tcPr>
            <w:tcW w:w="367"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4.45</w:t>
            </w:r>
          </w:p>
        </w:tc>
        <w:tc>
          <w:tcPr>
            <w:tcW w:w="442"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39.13</w:t>
            </w:r>
          </w:p>
        </w:tc>
        <w:tc>
          <w:tcPr>
            <w:tcW w:w="441"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w:t>
            </w:r>
          </w:p>
        </w:tc>
        <w:tc>
          <w:tcPr>
            <w:tcW w:w="515"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18.12</w:t>
            </w:r>
          </w:p>
        </w:tc>
        <w:tc>
          <w:tcPr>
            <w:tcW w:w="515"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10.84</w:t>
            </w:r>
          </w:p>
        </w:tc>
        <w:tc>
          <w:tcPr>
            <w:tcW w:w="367"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0.60</w:t>
            </w:r>
          </w:p>
        </w:tc>
        <w:tc>
          <w:tcPr>
            <w:tcW w:w="368"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1.43</w:t>
            </w:r>
          </w:p>
        </w:tc>
      </w:tr>
      <w:tr>
        <w:trPr>
          <w:trHeight w:val="340"/>
          <w:jc w:val="center"/>
        </w:trPr>
        <w:tc>
          <w:tcPr>
            <w:tcW w:w="365" w:type="pct"/>
            <w:vMerge/>
            <w:tcBorders>
              <w:top w:val="nil"/>
              <w:bottom w:val="nil"/>
            </w:tcBorders>
            <w:vAlign w:val="center"/>
            <w:hideMark/>
          </w:tcPr>
          <w:p>
            <w:pPr>
              <w:spacing w:after="0" w:line="480" w:lineRule="auto"/>
              <w:jc w:val="center"/>
              <w:rPr>
                <w:rFonts w:ascii="Times New Roman" w:eastAsia="Times New Roman" w:hAnsi="Times New Roman" w:cs="Times New Roman"/>
                <w:color w:val="000000"/>
                <w:sz w:val="24"/>
                <w:szCs w:val="24"/>
              </w:rPr>
            </w:pPr>
          </w:p>
        </w:tc>
        <w:tc>
          <w:tcPr>
            <w:tcW w:w="442"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240</w:t>
            </w:r>
          </w:p>
        </w:tc>
        <w:tc>
          <w:tcPr>
            <w:tcW w:w="429"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50.50</w:t>
            </w:r>
          </w:p>
        </w:tc>
        <w:tc>
          <w:tcPr>
            <w:tcW w:w="380"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5.77</w:t>
            </w:r>
          </w:p>
        </w:tc>
        <w:tc>
          <w:tcPr>
            <w:tcW w:w="368"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1.17</w:t>
            </w:r>
          </w:p>
        </w:tc>
        <w:tc>
          <w:tcPr>
            <w:tcW w:w="367"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4.76</w:t>
            </w:r>
          </w:p>
        </w:tc>
        <w:tc>
          <w:tcPr>
            <w:tcW w:w="442"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37.80</w:t>
            </w:r>
          </w:p>
        </w:tc>
        <w:tc>
          <w:tcPr>
            <w:tcW w:w="441"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1.14</w:t>
            </w:r>
          </w:p>
        </w:tc>
        <w:tc>
          <w:tcPr>
            <w:tcW w:w="515"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18.59</w:t>
            </w:r>
          </w:p>
        </w:tc>
        <w:tc>
          <w:tcPr>
            <w:tcW w:w="515"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13.73</w:t>
            </w:r>
          </w:p>
        </w:tc>
        <w:tc>
          <w:tcPr>
            <w:tcW w:w="367"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0.56</w:t>
            </w:r>
          </w:p>
        </w:tc>
        <w:tc>
          <w:tcPr>
            <w:tcW w:w="368"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1.37</w:t>
            </w:r>
          </w:p>
        </w:tc>
      </w:tr>
      <w:tr>
        <w:trPr>
          <w:trHeight w:val="340"/>
          <w:jc w:val="center"/>
        </w:trPr>
        <w:tc>
          <w:tcPr>
            <w:tcW w:w="365" w:type="pct"/>
            <w:vMerge/>
            <w:tcBorders>
              <w:top w:val="nil"/>
              <w:bottom w:val="single" w:sz="4" w:space="0" w:color="auto"/>
            </w:tcBorders>
            <w:vAlign w:val="center"/>
            <w:hideMark/>
          </w:tcPr>
          <w:p>
            <w:pPr>
              <w:spacing w:after="0" w:line="480" w:lineRule="auto"/>
              <w:jc w:val="center"/>
              <w:rPr>
                <w:rFonts w:ascii="Times New Roman" w:eastAsia="Times New Roman" w:hAnsi="Times New Roman" w:cs="Times New Roman"/>
                <w:color w:val="000000"/>
                <w:sz w:val="24"/>
                <w:szCs w:val="24"/>
              </w:rPr>
            </w:pPr>
          </w:p>
        </w:tc>
        <w:tc>
          <w:tcPr>
            <w:tcW w:w="442"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260</w:t>
            </w:r>
          </w:p>
        </w:tc>
        <w:tc>
          <w:tcPr>
            <w:tcW w:w="429"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53.60</w:t>
            </w:r>
          </w:p>
        </w:tc>
        <w:tc>
          <w:tcPr>
            <w:tcW w:w="380"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5.69</w:t>
            </w:r>
          </w:p>
        </w:tc>
        <w:tc>
          <w:tcPr>
            <w:tcW w:w="368"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1.44</w:t>
            </w:r>
          </w:p>
        </w:tc>
        <w:tc>
          <w:tcPr>
            <w:tcW w:w="367"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5.10</w:t>
            </w:r>
          </w:p>
        </w:tc>
        <w:tc>
          <w:tcPr>
            <w:tcW w:w="442"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34.17</w:t>
            </w:r>
          </w:p>
        </w:tc>
        <w:tc>
          <w:tcPr>
            <w:tcW w:w="441"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1.23</w:t>
            </w:r>
          </w:p>
        </w:tc>
        <w:tc>
          <w:tcPr>
            <w:tcW w:w="515"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20.18</w:t>
            </w:r>
          </w:p>
        </w:tc>
        <w:tc>
          <w:tcPr>
            <w:tcW w:w="515"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23.45</w:t>
            </w:r>
          </w:p>
        </w:tc>
        <w:tc>
          <w:tcPr>
            <w:tcW w:w="367"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0.48</w:t>
            </w:r>
          </w:p>
        </w:tc>
        <w:tc>
          <w:tcPr>
            <w:tcW w:w="368"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1.27</w:t>
            </w:r>
          </w:p>
        </w:tc>
      </w:tr>
      <w:tr>
        <w:trPr>
          <w:trHeight w:val="340"/>
          <w:jc w:val="center"/>
        </w:trPr>
        <w:tc>
          <w:tcPr>
            <w:tcW w:w="365" w:type="pct"/>
            <w:vMerge w:val="restar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442"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429"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48.40</w:t>
            </w:r>
          </w:p>
        </w:tc>
        <w:tc>
          <w:tcPr>
            <w:tcW w:w="380"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6.00</w:t>
            </w:r>
          </w:p>
        </w:tc>
        <w:tc>
          <w:tcPr>
            <w:tcW w:w="368"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1.17</w:t>
            </w:r>
          </w:p>
        </w:tc>
        <w:tc>
          <w:tcPr>
            <w:tcW w:w="367"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4.92</w:t>
            </w:r>
          </w:p>
        </w:tc>
        <w:tc>
          <w:tcPr>
            <w:tcW w:w="442"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39.51</w:t>
            </w:r>
          </w:p>
        </w:tc>
        <w:tc>
          <w:tcPr>
            <w:tcW w:w="441"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w:t>
            </w:r>
          </w:p>
        </w:tc>
        <w:tc>
          <w:tcPr>
            <w:tcW w:w="515"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17.91</w:t>
            </w:r>
          </w:p>
        </w:tc>
        <w:tc>
          <w:tcPr>
            <w:tcW w:w="515"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9.53</w:t>
            </w:r>
          </w:p>
        </w:tc>
        <w:tc>
          <w:tcPr>
            <w:tcW w:w="367"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0.61</w:t>
            </w:r>
          </w:p>
        </w:tc>
        <w:tc>
          <w:tcPr>
            <w:tcW w:w="368"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1.49</w:t>
            </w:r>
          </w:p>
        </w:tc>
      </w:tr>
      <w:tr>
        <w:trPr>
          <w:trHeight w:val="340"/>
          <w:jc w:val="center"/>
        </w:trPr>
        <w:tc>
          <w:tcPr>
            <w:tcW w:w="365" w:type="pct"/>
            <w:vMerge/>
            <w:vAlign w:val="center"/>
            <w:hideMark/>
          </w:tcPr>
          <w:p>
            <w:pPr>
              <w:spacing w:after="0" w:line="480" w:lineRule="auto"/>
              <w:jc w:val="center"/>
              <w:rPr>
                <w:rFonts w:ascii="Times New Roman" w:eastAsia="Times New Roman" w:hAnsi="Times New Roman" w:cs="Times New Roman"/>
                <w:color w:val="000000"/>
                <w:sz w:val="24"/>
                <w:szCs w:val="24"/>
              </w:rPr>
            </w:pPr>
          </w:p>
        </w:tc>
        <w:tc>
          <w:tcPr>
            <w:tcW w:w="442"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w:t>
            </w:r>
          </w:p>
        </w:tc>
        <w:tc>
          <w:tcPr>
            <w:tcW w:w="429"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49.80</w:t>
            </w:r>
          </w:p>
        </w:tc>
        <w:tc>
          <w:tcPr>
            <w:tcW w:w="38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5.83</w:t>
            </w:r>
          </w:p>
        </w:tc>
        <w:tc>
          <w:tcPr>
            <w:tcW w:w="368"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1.24</w:t>
            </w:r>
          </w:p>
        </w:tc>
        <w:tc>
          <w:tcPr>
            <w:tcW w:w="36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5.07</w:t>
            </w:r>
          </w:p>
        </w:tc>
        <w:tc>
          <w:tcPr>
            <w:tcW w:w="442"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38.06</w:t>
            </w:r>
          </w:p>
        </w:tc>
        <w:tc>
          <w:tcPr>
            <w:tcW w:w="441"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w:t>
            </w:r>
          </w:p>
        </w:tc>
        <w:tc>
          <w:tcPr>
            <w:tcW w:w="515"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18.40</w:t>
            </w:r>
          </w:p>
        </w:tc>
        <w:tc>
          <w:tcPr>
            <w:tcW w:w="515"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12.52</w:t>
            </w:r>
          </w:p>
        </w:tc>
        <w:tc>
          <w:tcPr>
            <w:tcW w:w="36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0.57</w:t>
            </w:r>
          </w:p>
        </w:tc>
        <w:tc>
          <w:tcPr>
            <w:tcW w:w="368"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1.40</w:t>
            </w:r>
          </w:p>
        </w:tc>
      </w:tr>
      <w:tr>
        <w:trPr>
          <w:trHeight w:val="340"/>
          <w:jc w:val="center"/>
        </w:trPr>
        <w:tc>
          <w:tcPr>
            <w:tcW w:w="365" w:type="pct"/>
            <w:vMerge/>
            <w:vAlign w:val="center"/>
            <w:hideMark/>
          </w:tcPr>
          <w:p>
            <w:pPr>
              <w:spacing w:after="0" w:line="480" w:lineRule="auto"/>
              <w:jc w:val="center"/>
              <w:rPr>
                <w:rFonts w:ascii="Times New Roman" w:eastAsia="Times New Roman" w:hAnsi="Times New Roman" w:cs="Times New Roman"/>
                <w:color w:val="000000"/>
                <w:sz w:val="24"/>
                <w:szCs w:val="24"/>
              </w:rPr>
            </w:pPr>
          </w:p>
        </w:tc>
        <w:tc>
          <w:tcPr>
            <w:tcW w:w="442"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240</w:t>
            </w:r>
          </w:p>
        </w:tc>
        <w:tc>
          <w:tcPr>
            <w:tcW w:w="429"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51.60</w:t>
            </w:r>
          </w:p>
        </w:tc>
        <w:tc>
          <w:tcPr>
            <w:tcW w:w="38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5.68</w:t>
            </w:r>
          </w:p>
        </w:tc>
        <w:tc>
          <w:tcPr>
            <w:tcW w:w="368"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1.42</w:t>
            </w:r>
          </w:p>
        </w:tc>
        <w:tc>
          <w:tcPr>
            <w:tcW w:w="36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5.34</w:t>
            </w:r>
          </w:p>
        </w:tc>
        <w:tc>
          <w:tcPr>
            <w:tcW w:w="442"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35.96</w:t>
            </w:r>
          </w:p>
        </w:tc>
        <w:tc>
          <w:tcPr>
            <w:tcW w:w="441"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1.17</w:t>
            </w:r>
          </w:p>
        </w:tc>
        <w:tc>
          <w:tcPr>
            <w:tcW w:w="515"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19.17</w:t>
            </w:r>
          </w:p>
        </w:tc>
        <w:tc>
          <w:tcPr>
            <w:tcW w:w="515"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17.24</w:t>
            </w:r>
          </w:p>
        </w:tc>
        <w:tc>
          <w:tcPr>
            <w:tcW w:w="36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0.52</w:t>
            </w:r>
          </w:p>
        </w:tc>
        <w:tc>
          <w:tcPr>
            <w:tcW w:w="368"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1.32</w:t>
            </w:r>
          </w:p>
        </w:tc>
      </w:tr>
      <w:tr>
        <w:trPr>
          <w:trHeight w:val="340"/>
          <w:jc w:val="center"/>
        </w:trPr>
        <w:tc>
          <w:tcPr>
            <w:tcW w:w="365" w:type="pct"/>
            <w:vMerge/>
            <w:vAlign w:val="center"/>
            <w:hideMark/>
          </w:tcPr>
          <w:p>
            <w:pPr>
              <w:spacing w:after="0" w:line="480" w:lineRule="auto"/>
              <w:jc w:val="center"/>
              <w:rPr>
                <w:rFonts w:ascii="Times New Roman" w:eastAsia="Times New Roman" w:hAnsi="Times New Roman" w:cs="Times New Roman"/>
                <w:color w:val="000000"/>
                <w:sz w:val="24"/>
                <w:szCs w:val="24"/>
              </w:rPr>
            </w:pPr>
          </w:p>
        </w:tc>
        <w:tc>
          <w:tcPr>
            <w:tcW w:w="442"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260</w:t>
            </w:r>
          </w:p>
        </w:tc>
        <w:tc>
          <w:tcPr>
            <w:tcW w:w="429"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54.20</w:t>
            </w:r>
          </w:p>
        </w:tc>
        <w:tc>
          <w:tcPr>
            <w:tcW w:w="38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5.60</w:t>
            </w:r>
          </w:p>
        </w:tc>
        <w:tc>
          <w:tcPr>
            <w:tcW w:w="368"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1.54</w:t>
            </w:r>
          </w:p>
        </w:tc>
        <w:tc>
          <w:tcPr>
            <w:tcW w:w="36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5.61</w:t>
            </w:r>
          </w:p>
        </w:tc>
        <w:tc>
          <w:tcPr>
            <w:tcW w:w="442"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33.05</w:t>
            </w:r>
          </w:p>
        </w:tc>
        <w:tc>
          <w:tcPr>
            <w:tcW w:w="441"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1.25</w:t>
            </w:r>
          </w:p>
        </w:tc>
        <w:tc>
          <w:tcPr>
            <w:tcW w:w="515"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20.46</w:t>
            </w:r>
          </w:p>
        </w:tc>
        <w:tc>
          <w:tcPr>
            <w:tcW w:w="515"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25.13</w:t>
            </w:r>
          </w:p>
        </w:tc>
        <w:tc>
          <w:tcPr>
            <w:tcW w:w="36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0.46</w:t>
            </w:r>
          </w:p>
        </w:tc>
        <w:tc>
          <w:tcPr>
            <w:tcW w:w="368"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1.24</w:t>
            </w:r>
          </w:p>
        </w:tc>
      </w:tr>
    </w:tbl>
    <w:p>
      <w:pPr>
        <w:spacing w:after="0" w:line="480" w:lineRule="auto"/>
        <w:jc w:val="both"/>
        <w:rPr>
          <w:rFonts w:ascii="Times New Roman" w:hAnsi="Times New Roman" w:cs="Times New Roman"/>
          <w:sz w:val="24"/>
          <w:szCs w:val="24"/>
        </w:rPr>
        <w:sectPr>
          <w:pgSz w:w="16838" w:h="11906" w:orient="landscape"/>
          <w:pgMar w:top="1418" w:right="1418" w:bottom="1418" w:left="1418" w:header="709" w:footer="709" w:gutter="0"/>
          <w:lnNumType w:countBy="1" w:restart="continuous"/>
          <w:cols w:space="708"/>
          <w:docGrid w:linePitch="360"/>
        </w:sectPr>
      </w:pPr>
    </w:p>
    <w:p>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Table S2.</w:t>
      </w:r>
      <w:r>
        <w:rPr>
          <w:rFonts w:ascii="Times New Roman" w:hAnsi="Times New Roman" w:cs="Times New Roman"/>
          <w:sz w:val="24"/>
          <w:szCs w:val="24"/>
        </w:rPr>
        <w:t xml:space="preserve"> Energy analysis of raw and DT </w:t>
      </w:r>
      <w:proofErr w:type="spellStart"/>
      <w:r>
        <w:rPr>
          <w:rFonts w:ascii="Times New Roman" w:hAnsi="Times New Roman" w:cs="Times New Roman"/>
          <w:sz w:val="24"/>
          <w:szCs w:val="24"/>
        </w:rPr>
        <w:t>oxytree</w:t>
      </w:r>
      <w:proofErr w:type="spellEnd"/>
      <w:r>
        <w:rPr>
          <w:rFonts w:ascii="Times New Roman" w:hAnsi="Times New Roman" w:cs="Times New Roman"/>
          <w:sz w:val="24"/>
          <w:szCs w:val="24"/>
        </w:rPr>
        <w:t>.</w:t>
      </w:r>
    </w:p>
    <w:tbl>
      <w:tblPr>
        <w:tblW w:w="5000" w:type="pct"/>
        <w:tblBorders>
          <w:top w:val="single" w:sz="4" w:space="0" w:color="auto"/>
          <w:bottom w:val="single" w:sz="4" w:space="0" w:color="auto"/>
        </w:tblBorders>
        <w:tblLook w:val="04A0" w:firstRow="1" w:lastRow="0" w:firstColumn="1" w:lastColumn="0" w:noHBand="0" w:noVBand="1"/>
      </w:tblPr>
      <w:tblGrid>
        <w:gridCol w:w="932"/>
        <w:gridCol w:w="984"/>
        <w:gridCol w:w="1323"/>
        <w:gridCol w:w="799"/>
        <w:gridCol w:w="788"/>
        <w:gridCol w:w="908"/>
        <w:gridCol w:w="1059"/>
        <w:gridCol w:w="1169"/>
        <w:gridCol w:w="1219"/>
        <w:gridCol w:w="1521"/>
        <w:gridCol w:w="1910"/>
        <w:gridCol w:w="1390"/>
      </w:tblGrid>
      <w:tr>
        <w:trPr>
          <w:cantSplit/>
          <w:trHeight w:val="1380"/>
        </w:trPr>
        <w:tc>
          <w:tcPr>
            <w:tcW w:w="359" w:type="pct"/>
            <w:tcBorders>
              <w:top w:val="single" w:sz="4" w:space="0" w:color="auto"/>
              <w:bottom w:val="single" w:sz="4" w:space="0" w:color="auto"/>
            </w:tcBorders>
            <w:shd w:val="clear" w:color="auto" w:fill="FFFFFF" w:themeFill="background1"/>
            <w:vAlign w:val="center"/>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Time</w:t>
            </w:r>
          </w:p>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(min)</w:t>
            </w:r>
          </w:p>
        </w:tc>
        <w:tc>
          <w:tcPr>
            <w:tcW w:w="377" w:type="pct"/>
            <w:tcBorders>
              <w:top w:val="single" w:sz="4" w:space="0" w:color="auto"/>
              <w:bottom w:val="single" w:sz="4" w:space="0" w:color="auto"/>
            </w:tcBorders>
            <w:shd w:val="clear" w:color="auto" w:fill="FFFFFF" w:themeFill="background1"/>
            <w:vAlign w:val="center"/>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Temp</w:t>
            </w:r>
          </w:p>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sym w:font="Symbol" w:char="F0B0"/>
            </w:r>
            <w:r>
              <w:rPr>
                <w:rFonts w:ascii="Times New Roman" w:eastAsia="Times New Roman" w:hAnsi="Times New Roman" w:cs="Times New Roman"/>
                <w:b/>
                <w:bCs/>
                <w:sz w:val="24"/>
                <w:szCs w:val="24"/>
              </w:rPr>
              <w:t>C)</w:t>
            </w:r>
          </w:p>
        </w:tc>
        <w:tc>
          <w:tcPr>
            <w:tcW w:w="461"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sz w:val="24"/>
                <w:szCs w:val="24"/>
              </w:rPr>
            </w:pPr>
            <w:proofErr w:type="spellStart"/>
            <w:r>
              <w:rPr>
                <w:rFonts w:ascii="Times New Roman" w:eastAsia="Times New Roman" w:hAnsi="Times New Roman" w:cs="Times New Roman"/>
                <w:b/>
                <w:bCs/>
                <w:sz w:val="24"/>
                <w:szCs w:val="24"/>
              </w:rPr>
              <w:t>HHV</w:t>
            </w:r>
            <w:r>
              <w:rPr>
                <w:rFonts w:ascii="Times New Roman" w:eastAsia="Times New Roman" w:hAnsi="Times New Roman" w:cs="Times New Roman"/>
                <w:b/>
                <w:bCs/>
                <w:sz w:val="24"/>
                <w:szCs w:val="24"/>
                <w:vertAlign w:val="subscript"/>
              </w:rPr>
              <w:t>increase</w:t>
            </w:r>
            <w:proofErr w:type="spellEnd"/>
          </w:p>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w:t>
            </w:r>
          </w:p>
        </w:tc>
        <w:tc>
          <w:tcPr>
            <w:tcW w:w="311"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O/C</w:t>
            </w:r>
          </w:p>
        </w:tc>
        <w:tc>
          <w:tcPr>
            <w:tcW w:w="307"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H/C</w:t>
            </w:r>
          </w:p>
        </w:tc>
        <w:tc>
          <w:tcPr>
            <w:tcW w:w="350"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Mass loss (%)</w:t>
            </w:r>
          </w:p>
        </w:tc>
        <w:tc>
          <w:tcPr>
            <w:tcW w:w="404"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Mass yield (%)</w:t>
            </w:r>
          </w:p>
        </w:tc>
        <w:tc>
          <w:tcPr>
            <w:tcW w:w="443"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Energy yield (%)</w:t>
            </w:r>
          </w:p>
        </w:tc>
        <w:tc>
          <w:tcPr>
            <w:tcW w:w="461"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Carbon yield (%)</w:t>
            </w:r>
          </w:p>
        </w:tc>
        <w:tc>
          <w:tcPr>
            <w:tcW w:w="569"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Hydrogen yield (%)</w:t>
            </w:r>
          </w:p>
        </w:tc>
        <w:tc>
          <w:tcPr>
            <w:tcW w:w="497"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Decarbonization</w:t>
            </w:r>
          </w:p>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w:t>
            </w:r>
          </w:p>
        </w:tc>
        <w:tc>
          <w:tcPr>
            <w:tcW w:w="461"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Carbon enrichment</w:t>
            </w:r>
          </w:p>
        </w:tc>
      </w:tr>
      <w:tr>
        <w:trPr>
          <w:trHeight w:val="340"/>
        </w:trPr>
        <w:tc>
          <w:tcPr>
            <w:tcW w:w="359" w:type="pct"/>
            <w:tcBorders>
              <w:top w:val="single" w:sz="4" w:space="0" w:color="auto"/>
              <w:bottom w:val="single" w:sz="4" w:space="0" w:color="auto"/>
            </w:tcBorders>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Raw</w:t>
            </w:r>
          </w:p>
        </w:tc>
        <w:tc>
          <w:tcPr>
            <w:tcW w:w="377" w:type="pct"/>
            <w:tcBorders>
              <w:top w:val="single" w:sz="4" w:space="0" w:color="auto"/>
              <w:bottom w:val="single" w:sz="4" w:space="0" w:color="auto"/>
            </w:tcBorders>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461" w:type="pct"/>
            <w:tcBorders>
              <w:top w:val="single" w:sz="4" w:space="0" w:color="auto"/>
              <w:bottom w:val="single" w:sz="4" w:space="0" w:color="auto"/>
            </w:tcBorders>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311"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0.74</w:t>
            </w:r>
          </w:p>
        </w:tc>
        <w:tc>
          <w:tcPr>
            <w:tcW w:w="307"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1.67</w:t>
            </w:r>
          </w:p>
        </w:tc>
        <w:tc>
          <w:tcPr>
            <w:tcW w:w="350"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404"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100.00</w:t>
            </w:r>
          </w:p>
        </w:tc>
        <w:tc>
          <w:tcPr>
            <w:tcW w:w="443"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461"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69"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497"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461"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trPr>
          <w:trHeight w:val="340"/>
        </w:trPr>
        <w:tc>
          <w:tcPr>
            <w:tcW w:w="359" w:type="pct"/>
            <w:vMerge w:val="restart"/>
            <w:tcBorders>
              <w:top w:val="single" w:sz="4" w:space="0" w:color="auto"/>
              <w:bottom w:val="nil"/>
            </w:tcBorders>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377" w:type="pct"/>
            <w:tcBorders>
              <w:top w:val="single" w:sz="4" w:space="0" w:color="auto"/>
              <w:bottom w:val="nil"/>
            </w:tcBorders>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461"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6.48</w:t>
            </w:r>
          </w:p>
        </w:tc>
        <w:tc>
          <w:tcPr>
            <w:tcW w:w="311"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0.63</w:t>
            </w:r>
          </w:p>
        </w:tc>
        <w:tc>
          <w:tcPr>
            <w:tcW w:w="307"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1.43</w:t>
            </w:r>
          </w:p>
        </w:tc>
        <w:tc>
          <w:tcPr>
            <w:tcW w:w="350"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25.40</w:t>
            </w:r>
          </w:p>
        </w:tc>
        <w:tc>
          <w:tcPr>
            <w:tcW w:w="404"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74.60</w:t>
            </w:r>
          </w:p>
        </w:tc>
        <w:tc>
          <w:tcPr>
            <w:tcW w:w="443"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79.44</w:t>
            </w:r>
          </w:p>
        </w:tc>
        <w:tc>
          <w:tcPr>
            <w:tcW w:w="461"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80.00</w:t>
            </w:r>
          </w:p>
        </w:tc>
        <w:tc>
          <w:tcPr>
            <w:tcW w:w="569"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72.96</w:t>
            </w:r>
          </w:p>
        </w:tc>
        <w:tc>
          <w:tcPr>
            <w:tcW w:w="497"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20.00</w:t>
            </w:r>
          </w:p>
        </w:tc>
        <w:tc>
          <w:tcPr>
            <w:tcW w:w="461"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1.07</w:t>
            </w:r>
          </w:p>
        </w:tc>
      </w:tr>
      <w:tr>
        <w:trPr>
          <w:trHeight w:val="340"/>
        </w:trPr>
        <w:tc>
          <w:tcPr>
            <w:tcW w:w="359" w:type="pct"/>
            <w:vMerge/>
            <w:tcBorders>
              <w:top w:val="nil"/>
              <w:bottom w:val="nil"/>
            </w:tcBorders>
            <w:vAlign w:val="center"/>
          </w:tcPr>
          <w:p>
            <w:pPr>
              <w:spacing w:after="0" w:line="480" w:lineRule="auto"/>
              <w:jc w:val="center"/>
              <w:rPr>
                <w:rFonts w:ascii="Times New Roman" w:eastAsia="Times New Roman" w:hAnsi="Times New Roman" w:cs="Times New Roman"/>
                <w:sz w:val="24"/>
                <w:szCs w:val="24"/>
              </w:rPr>
            </w:pPr>
          </w:p>
        </w:tc>
        <w:tc>
          <w:tcPr>
            <w:tcW w:w="377" w:type="pct"/>
            <w:tcBorders>
              <w:top w:val="nil"/>
              <w:bottom w:val="nil"/>
            </w:tcBorders>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220</w:t>
            </w:r>
          </w:p>
        </w:tc>
        <w:tc>
          <w:tcPr>
            <w:tcW w:w="461"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10.84</w:t>
            </w:r>
          </w:p>
        </w:tc>
        <w:tc>
          <w:tcPr>
            <w:tcW w:w="311"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0.60</w:t>
            </w:r>
          </w:p>
        </w:tc>
        <w:tc>
          <w:tcPr>
            <w:tcW w:w="307"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1.43</w:t>
            </w:r>
          </w:p>
        </w:tc>
        <w:tc>
          <w:tcPr>
            <w:tcW w:w="350"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30.68</w:t>
            </w:r>
          </w:p>
        </w:tc>
        <w:tc>
          <w:tcPr>
            <w:tcW w:w="404"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69.32</w:t>
            </w:r>
          </w:p>
        </w:tc>
        <w:tc>
          <w:tcPr>
            <w:tcW w:w="443"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76.83</w:t>
            </w:r>
          </w:p>
        </w:tc>
        <w:tc>
          <w:tcPr>
            <w:tcW w:w="461"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75.72</w:t>
            </w:r>
          </w:p>
        </w:tc>
        <w:tc>
          <w:tcPr>
            <w:tcW w:w="569"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71.91</w:t>
            </w:r>
          </w:p>
        </w:tc>
        <w:tc>
          <w:tcPr>
            <w:tcW w:w="497"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24.28</w:t>
            </w:r>
          </w:p>
        </w:tc>
        <w:tc>
          <w:tcPr>
            <w:tcW w:w="461"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1.09</w:t>
            </w:r>
          </w:p>
        </w:tc>
      </w:tr>
      <w:tr>
        <w:trPr>
          <w:trHeight w:val="340"/>
        </w:trPr>
        <w:tc>
          <w:tcPr>
            <w:tcW w:w="359" w:type="pct"/>
            <w:vMerge/>
            <w:tcBorders>
              <w:top w:val="nil"/>
              <w:bottom w:val="nil"/>
            </w:tcBorders>
            <w:vAlign w:val="center"/>
          </w:tcPr>
          <w:p>
            <w:pPr>
              <w:spacing w:after="0" w:line="480" w:lineRule="auto"/>
              <w:jc w:val="center"/>
              <w:rPr>
                <w:rFonts w:ascii="Times New Roman" w:eastAsia="Times New Roman" w:hAnsi="Times New Roman" w:cs="Times New Roman"/>
                <w:sz w:val="24"/>
                <w:szCs w:val="24"/>
              </w:rPr>
            </w:pPr>
          </w:p>
        </w:tc>
        <w:tc>
          <w:tcPr>
            <w:tcW w:w="377" w:type="pct"/>
            <w:tcBorders>
              <w:top w:val="nil"/>
              <w:bottom w:val="nil"/>
            </w:tcBorders>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240</w:t>
            </w:r>
          </w:p>
        </w:tc>
        <w:tc>
          <w:tcPr>
            <w:tcW w:w="461"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13.73</w:t>
            </w:r>
          </w:p>
        </w:tc>
        <w:tc>
          <w:tcPr>
            <w:tcW w:w="311"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0.56</w:t>
            </w:r>
          </w:p>
        </w:tc>
        <w:tc>
          <w:tcPr>
            <w:tcW w:w="307"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1.37</w:t>
            </w:r>
          </w:p>
        </w:tc>
        <w:tc>
          <w:tcPr>
            <w:tcW w:w="350"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38.50</w:t>
            </w:r>
          </w:p>
        </w:tc>
        <w:tc>
          <w:tcPr>
            <w:tcW w:w="404"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61.50</w:t>
            </w:r>
          </w:p>
        </w:tc>
        <w:tc>
          <w:tcPr>
            <w:tcW w:w="443"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69.95</w:t>
            </w:r>
          </w:p>
        </w:tc>
        <w:tc>
          <w:tcPr>
            <w:tcW w:w="461"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68.82</w:t>
            </w:r>
          </w:p>
        </w:tc>
        <w:tc>
          <w:tcPr>
            <w:tcW w:w="569"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64.13</w:t>
            </w:r>
          </w:p>
        </w:tc>
        <w:tc>
          <w:tcPr>
            <w:tcW w:w="497"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31.18</w:t>
            </w:r>
          </w:p>
        </w:tc>
        <w:tc>
          <w:tcPr>
            <w:tcW w:w="461"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1.12</w:t>
            </w:r>
          </w:p>
        </w:tc>
      </w:tr>
      <w:tr>
        <w:trPr>
          <w:trHeight w:val="340"/>
        </w:trPr>
        <w:tc>
          <w:tcPr>
            <w:tcW w:w="359" w:type="pct"/>
            <w:vMerge/>
            <w:tcBorders>
              <w:top w:val="nil"/>
              <w:bottom w:val="single" w:sz="4" w:space="0" w:color="auto"/>
            </w:tcBorders>
            <w:vAlign w:val="center"/>
          </w:tcPr>
          <w:p>
            <w:pPr>
              <w:spacing w:after="0" w:line="480" w:lineRule="auto"/>
              <w:jc w:val="center"/>
              <w:rPr>
                <w:rFonts w:ascii="Times New Roman" w:eastAsia="Times New Roman" w:hAnsi="Times New Roman" w:cs="Times New Roman"/>
                <w:sz w:val="24"/>
                <w:szCs w:val="24"/>
              </w:rPr>
            </w:pPr>
          </w:p>
        </w:tc>
        <w:tc>
          <w:tcPr>
            <w:tcW w:w="377" w:type="pct"/>
            <w:tcBorders>
              <w:top w:val="nil"/>
              <w:bottom w:val="single" w:sz="4" w:space="0" w:color="auto"/>
            </w:tcBorders>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260</w:t>
            </w:r>
          </w:p>
        </w:tc>
        <w:tc>
          <w:tcPr>
            <w:tcW w:w="461"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23.45</w:t>
            </w:r>
          </w:p>
        </w:tc>
        <w:tc>
          <w:tcPr>
            <w:tcW w:w="311"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0.48</w:t>
            </w:r>
          </w:p>
        </w:tc>
        <w:tc>
          <w:tcPr>
            <w:tcW w:w="307"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1.27</w:t>
            </w:r>
          </w:p>
        </w:tc>
        <w:tc>
          <w:tcPr>
            <w:tcW w:w="350"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46.78</w:t>
            </w:r>
          </w:p>
        </w:tc>
        <w:tc>
          <w:tcPr>
            <w:tcW w:w="404"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53.22</w:t>
            </w:r>
          </w:p>
        </w:tc>
        <w:tc>
          <w:tcPr>
            <w:tcW w:w="443"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65.70</w:t>
            </w:r>
          </w:p>
        </w:tc>
        <w:tc>
          <w:tcPr>
            <w:tcW w:w="461"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63.20</w:t>
            </w:r>
          </w:p>
        </w:tc>
        <w:tc>
          <w:tcPr>
            <w:tcW w:w="569"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59.40</w:t>
            </w:r>
          </w:p>
        </w:tc>
        <w:tc>
          <w:tcPr>
            <w:tcW w:w="497"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36.80</w:t>
            </w:r>
          </w:p>
        </w:tc>
        <w:tc>
          <w:tcPr>
            <w:tcW w:w="461"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1.19</w:t>
            </w:r>
          </w:p>
        </w:tc>
      </w:tr>
      <w:tr>
        <w:trPr>
          <w:trHeight w:val="340"/>
        </w:trPr>
        <w:tc>
          <w:tcPr>
            <w:tcW w:w="359" w:type="pct"/>
            <w:vMerge w:val="restart"/>
            <w:tcBorders>
              <w:top w:val="single" w:sz="4" w:space="0" w:color="auto"/>
            </w:tcBorders>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377" w:type="pct"/>
            <w:tcBorders>
              <w:top w:val="single" w:sz="4" w:space="0" w:color="auto"/>
            </w:tcBorders>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461"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9.53</w:t>
            </w:r>
          </w:p>
        </w:tc>
        <w:tc>
          <w:tcPr>
            <w:tcW w:w="311"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0.61</w:t>
            </w:r>
          </w:p>
        </w:tc>
        <w:tc>
          <w:tcPr>
            <w:tcW w:w="307"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1.49</w:t>
            </w:r>
          </w:p>
        </w:tc>
        <w:tc>
          <w:tcPr>
            <w:tcW w:w="350"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27.91</w:t>
            </w:r>
          </w:p>
        </w:tc>
        <w:tc>
          <w:tcPr>
            <w:tcW w:w="404"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72.09</w:t>
            </w:r>
          </w:p>
        </w:tc>
        <w:tc>
          <w:tcPr>
            <w:tcW w:w="443"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78.96</w:t>
            </w:r>
          </w:p>
        </w:tc>
        <w:tc>
          <w:tcPr>
            <w:tcW w:w="461"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77.30</w:t>
            </w:r>
          </w:p>
        </w:tc>
        <w:tc>
          <w:tcPr>
            <w:tcW w:w="569"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75.27</w:t>
            </w:r>
          </w:p>
        </w:tc>
        <w:tc>
          <w:tcPr>
            <w:tcW w:w="497"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22.70</w:t>
            </w:r>
          </w:p>
        </w:tc>
        <w:tc>
          <w:tcPr>
            <w:tcW w:w="461"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1.07</w:t>
            </w:r>
          </w:p>
        </w:tc>
      </w:tr>
      <w:tr>
        <w:trPr>
          <w:trHeight w:val="340"/>
        </w:trPr>
        <w:tc>
          <w:tcPr>
            <w:tcW w:w="359" w:type="pct"/>
            <w:vMerge/>
            <w:vAlign w:val="center"/>
          </w:tcPr>
          <w:p>
            <w:pPr>
              <w:spacing w:after="0" w:line="480" w:lineRule="auto"/>
              <w:jc w:val="center"/>
              <w:rPr>
                <w:rFonts w:ascii="Times New Roman" w:eastAsia="Times New Roman" w:hAnsi="Times New Roman" w:cs="Times New Roman"/>
                <w:sz w:val="24"/>
                <w:szCs w:val="24"/>
              </w:rPr>
            </w:pPr>
          </w:p>
        </w:tc>
        <w:tc>
          <w:tcPr>
            <w:tcW w:w="377" w:type="pct"/>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220</w:t>
            </w:r>
          </w:p>
        </w:tc>
        <w:tc>
          <w:tcPr>
            <w:tcW w:w="46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12.52</w:t>
            </w:r>
          </w:p>
        </w:tc>
        <w:tc>
          <w:tcPr>
            <w:tcW w:w="31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0.57</w:t>
            </w:r>
          </w:p>
        </w:tc>
        <w:tc>
          <w:tcPr>
            <w:tcW w:w="30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1.40</w:t>
            </w:r>
          </w:p>
        </w:tc>
        <w:tc>
          <w:tcPr>
            <w:tcW w:w="350"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38.09</w:t>
            </w:r>
          </w:p>
        </w:tc>
        <w:tc>
          <w:tcPr>
            <w:tcW w:w="404"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61.91</w:t>
            </w:r>
          </w:p>
        </w:tc>
        <w:tc>
          <w:tcPr>
            <w:tcW w:w="443"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69.66</w:t>
            </w:r>
          </w:p>
        </w:tc>
        <w:tc>
          <w:tcPr>
            <w:tcW w:w="46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68.31</w:t>
            </w:r>
          </w:p>
        </w:tc>
        <w:tc>
          <w:tcPr>
            <w:tcW w:w="569"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64.53</w:t>
            </w:r>
          </w:p>
        </w:tc>
        <w:tc>
          <w:tcPr>
            <w:tcW w:w="49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31.69</w:t>
            </w:r>
          </w:p>
        </w:tc>
        <w:tc>
          <w:tcPr>
            <w:tcW w:w="46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w:t>
            </w:r>
          </w:p>
        </w:tc>
      </w:tr>
      <w:tr>
        <w:trPr>
          <w:trHeight w:val="340"/>
        </w:trPr>
        <w:tc>
          <w:tcPr>
            <w:tcW w:w="359" w:type="pct"/>
            <w:vMerge/>
            <w:vAlign w:val="center"/>
          </w:tcPr>
          <w:p>
            <w:pPr>
              <w:spacing w:after="0" w:line="480" w:lineRule="auto"/>
              <w:jc w:val="center"/>
              <w:rPr>
                <w:rFonts w:ascii="Times New Roman" w:eastAsia="Times New Roman" w:hAnsi="Times New Roman" w:cs="Times New Roman"/>
                <w:sz w:val="24"/>
                <w:szCs w:val="24"/>
              </w:rPr>
            </w:pPr>
          </w:p>
        </w:tc>
        <w:tc>
          <w:tcPr>
            <w:tcW w:w="377" w:type="pct"/>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240</w:t>
            </w:r>
          </w:p>
        </w:tc>
        <w:tc>
          <w:tcPr>
            <w:tcW w:w="46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17.24</w:t>
            </w:r>
          </w:p>
        </w:tc>
        <w:tc>
          <w:tcPr>
            <w:tcW w:w="31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0.52</w:t>
            </w:r>
          </w:p>
        </w:tc>
        <w:tc>
          <w:tcPr>
            <w:tcW w:w="30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1.32</w:t>
            </w:r>
          </w:p>
        </w:tc>
        <w:tc>
          <w:tcPr>
            <w:tcW w:w="350"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51.09</w:t>
            </w:r>
          </w:p>
        </w:tc>
        <w:tc>
          <w:tcPr>
            <w:tcW w:w="404"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48.91</w:t>
            </w:r>
          </w:p>
        </w:tc>
        <w:tc>
          <w:tcPr>
            <w:tcW w:w="443"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57.34</w:t>
            </w:r>
          </w:p>
        </w:tc>
        <w:tc>
          <w:tcPr>
            <w:tcW w:w="46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55.92</w:t>
            </w:r>
          </w:p>
        </w:tc>
        <w:tc>
          <w:tcPr>
            <w:tcW w:w="569"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51.75</w:t>
            </w:r>
          </w:p>
        </w:tc>
        <w:tc>
          <w:tcPr>
            <w:tcW w:w="49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44.08</w:t>
            </w:r>
          </w:p>
        </w:tc>
        <w:tc>
          <w:tcPr>
            <w:tcW w:w="46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1.14</w:t>
            </w:r>
          </w:p>
        </w:tc>
      </w:tr>
      <w:tr>
        <w:trPr>
          <w:trHeight w:val="340"/>
        </w:trPr>
        <w:tc>
          <w:tcPr>
            <w:tcW w:w="359" w:type="pct"/>
            <w:vMerge/>
            <w:vAlign w:val="center"/>
          </w:tcPr>
          <w:p>
            <w:pPr>
              <w:spacing w:after="0" w:line="480" w:lineRule="auto"/>
              <w:jc w:val="center"/>
              <w:rPr>
                <w:rFonts w:ascii="Times New Roman" w:eastAsia="Times New Roman" w:hAnsi="Times New Roman" w:cs="Times New Roman"/>
                <w:sz w:val="24"/>
                <w:szCs w:val="24"/>
              </w:rPr>
            </w:pPr>
          </w:p>
        </w:tc>
        <w:tc>
          <w:tcPr>
            <w:tcW w:w="377" w:type="pct"/>
            <w:vAlign w:val="center"/>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260</w:t>
            </w:r>
          </w:p>
        </w:tc>
        <w:tc>
          <w:tcPr>
            <w:tcW w:w="46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25.13</w:t>
            </w:r>
          </w:p>
        </w:tc>
        <w:tc>
          <w:tcPr>
            <w:tcW w:w="31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0.46</w:t>
            </w:r>
          </w:p>
        </w:tc>
        <w:tc>
          <w:tcPr>
            <w:tcW w:w="30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1.24</w:t>
            </w:r>
          </w:p>
        </w:tc>
        <w:tc>
          <w:tcPr>
            <w:tcW w:w="350"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58.54</w:t>
            </w:r>
          </w:p>
        </w:tc>
        <w:tc>
          <w:tcPr>
            <w:tcW w:w="404"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41.46</w:t>
            </w:r>
          </w:p>
        </w:tc>
        <w:tc>
          <w:tcPr>
            <w:tcW w:w="443"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51.88</w:t>
            </w:r>
          </w:p>
        </w:tc>
        <w:tc>
          <w:tcPr>
            <w:tcW w:w="46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49.79</w:t>
            </w:r>
          </w:p>
        </w:tc>
        <w:tc>
          <w:tcPr>
            <w:tcW w:w="569"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46.16</w:t>
            </w:r>
          </w:p>
        </w:tc>
        <w:tc>
          <w:tcPr>
            <w:tcW w:w="49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50.21</w:t>
            </w:r>
          </w:p>
        </w:tc>
        <w:tc>
          <w:tcPr>
            <w:tcW w:w="461"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1.20</w:t>
            </w:r>
          </w:p>
        </w:tc>
      </w:tr>
    </w:tbl>
    <w:p>
      <w:pPr>
        <w:spacing w:after="0" w:line="480" w:lineRule="auto"/>
        <w:jc w:val="both"/>
        <w:rPr>
          <w:rFonts w:ascii="Times New Roman" w:hAnsi="Times New Roman" w:cs="Times New Roman"/>
          <w:sz w:val="24"/>
          <w:szCs w:val="24"/>
          <w:lang w:bidi="en-US"/>
        </w:rPr>
        <w:sectPr>
          <w:pgSz w:w="16838" w:h="11906" w:orient="landscape"/>
          <w:pgMar w:top="1418" w:right="1418" w:bottom="1418" w:left="1418" w:header="709" w:footer="709" w:gutter="0"/>
          <w:lnNumType w:countBy="1" w:restart="continuous"/>
          <w:cols w:space="708"/>
          <w:docGrid w:linePitch="360"/>
        </w:sectPr>
      </w:pPr>
    </w:p>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tc>
          <w:tcPr>
            <w:tcW w:w="4531" w:type="dxa"/>
          </w:tcPr>
          <w:p>
            <w:pPr>
              <w:jc w:val="both"/>
              <w:rPr>
                <w:rFonts w:ascii="Times New Roman" w:hAnsi="Times New Roman" w:cs="Times New Roman"/>
                <w:b/>
                <w:bCs/>
                <w:sz w:val="24"/>
                <w:szCs w:val="24"/>
              </w:rPr>
            </w:pPr>
            <w:r>
              <w:rPr>
                <w:rFonts w:ascii="Times New Roman" w:hAnsi="Times New Roman" w:cs="Times New Roman"/>
                <w:b/>
                <w:bCs/>
                <w:sz w:val="24"/>
                <w:szCs w:val="24"/>
              </w:rPr>
              <w:t>(a)</w:t>
            </w:r>
          </w:p>
        </w:tc>
        <w:tc>
          <w:tcPr>
            <w:tcW w:w="4531" w:type="dxa"/>
          </w:tcPr>
          <w:p>
            <w:pPr>
              <w:jc w:val="both"/>
              <w:rPr>
                <w:rFonts w:ascii="Times New Roman" w:hAnsi="Times New Roman" w:cs="Times New Roman"/>
                <w:b/>
                <w:bCs/>
                <w:sz w:val="24"/>
                <w:szCs w:val="24"/>
              </w:rPr>
            </w:pPr>
            <w:r>
              <w:rPr>
                <w:rFonts w:ascii="Times New Roman" w:hAnsi="Times New Roman" w:cs="Times New Roman"/>
                <w:b/>
                <w:bCs/>
                <w:sz w:val="24"/>
                <w:szCs w:val="24"/>
              </w:rPr>
              <w:t>(b)</w:t>
            </w:r>
          </w:p>
        </w:tc>
      </w:tr>
      <w:tr>
        <w:tc>
          <w:tcPr>
            <w:tcW w:w="4531" w:type="dxa"/>
          </w:tcPr>
          <w:p>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714919" cy="2128362"/>
                  <wp:effectExtent l="0" t="0" r="3175" b="5715"/>
                  <wp:docPr id="14622435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243581" name=""/>
                          <pic:cNvPicPr/>
                        </pic:nvPicPr>
                        <pic:blipFill>
                          <a:blip r:embed="rId11"/>
                          <a:stretch>
                            <a:fillRect/>
                          </a:stretch>
                        </pic:blipFill>
                        <pic:spPr>
                          <a:xfrm>
                            <a:off x="0" y="0"/>
                            <a:ext cx="2759015" cy="2162931"/>
                          </a:xfrm>
                          <a:prstGeom prst="rect">
                            <a:avLst/>
                          </a:prstGeom>
                        </pic:spPr>
                      </pic:pic>
                    </a:graphicData>
                  </a:graphic>
                </wp:inline>
              </w:drawing>
            </w:r>
          </w:p>
        </w:tc>
        <w:tc>
          <w:tcPr>
            <w:tcW w:w="4531" w:type="dxa"/>
          </w:tcPr>
          <w:p>
            <w:pPr>
              <w:jc w:val="both"/>
              <w:rPr>
                <w:rFonts w:ascii="Times New Roman" w:hAnsi="Times New Roman" w:cs="Times New Roman"/>
                <w:sz w:val="24"/>
                <w:szCs w:val="24"/>
              </w:rPr>
            </w:pPr>
            <w:r>
              <w:rPr>
                <w:noProof/>
              </w:rPr>
              <w:drawing>
                <wp:inline distT="0" distB="0" distL="0" distR="0">
                  <wp:extent cx="2705605" cy="223140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26927" cy="2248994"/>
                          </a:xfrm>
                          <a:prstGeom prst="rect">
                            <a:avLst/>
                          </a:prstGeom>
                        </pic:spPr>
                      </pic:pic>
                    </a:graphicData>
                  </a:graphic>
                </wp:inline>
              </w:drawing>
            </w:r>
          </w:p>
        </w:tc>
      </w:tr>
    </w:tbl>
    <w:p>
      <w:pPr>
        <w:spacing w:after="0" w:line="480" w:lineRule="auto"/>
        <w:jc w:val="both"/>
        <w:rPr>
          <w:rFonts w:ascii="Times New Roman" w:hAnsi="Times New Roman" w:cs="Times New Roman"/>
          <w:sz w:val="24"/>
          <w:szCs w:val="24"/>
        </w:rPr>
      </w:pPr>
      <w:bookmarkStart w:id="2" w:name="_Ref195450300"/>
      <w:r>
        <w:rPr>
          <w:rFonts w:ascii="Times New Roman" w:hAnsi="Times New Roman" w:cs="Times New Roman"/>
          <w:b/>
          <w:bCs/>
          <w:sz w:val="24"/>
          <w:szCs w:val="24"/>
        </w:rPr>
        <w:t xml:space="preserve">Fig. </w:t>
      </w:r>
      <w:bookmarkEnd w:id="2"/>
      <w:r>
        <w:rPr>
          <w:rFonts w:ascii="Times New Roman" w:hAnsi="Times New Roman" w:cs="Times New Roman"/>
          <w:b/>
          <w:bCs/>
          <w:sz w:val="24"/>
          <w:szCs w:val="24"/>
        </w:rPr>
        <w:t>S2.</w:t>
      </w:r>
      <w:r>
        <w:rPr>
          <w:rFonts w:ascii="Times New Roman" w:hAnsi="Times New Roman" w:cs="Times New Roman"/>
          <w:sz w:val="24"/>
          <w:szCs w:val="24"/>
        </w:rPr>
        <w:t xml:space="preserve"> Thermogravimetric analysis (TGA) and derivative thermogravimetry (DTG) curves of raw and DT </w:t>
      </w:r>
      <w:proofErr w:type="spellStart"/>
      <w:r>
        <w:rPr>
          <w:rFonts w:ascii="Times New Roman" w:hAnsi="Times New Roman" w:cs="Times New Roman"/>
          <w:sz w:val="24"/>
          <w:szCs w:val="24"/>
        </w:rPr>
        <w:t>oxytree</w:t>
      </w:r>
      <w:proofErr w:type="spellEnd"/>
      <w:r>
        <w:rPr>
          <w:rFonts w:ascii="Times New Roman" w:hAnsi="Times New Roman" w:cs="Times New Roman"/>
          <w:sz w:val="24"/>
          <w:szCs w:val="24"/>
        </w:rPr>
        <w:t xml:space="preserve"> biomass: (a) TGA profiles; (b) corresponding DTG curves, highlighting differences in thermal degradation </w:t>
      </w:r>
      <w:proofErr w:type="spellStart"/>
      <w:r>
        <w:rPr>
          <w:rFonts w:ascii="Times New Roman" w:hAnsi="Times New Roman" w:cs="Times New Roman"/>
          <w:sz w:val="24"/>
          <w:szCs w:val="24"/>
        </w:rPr>
        <w:t>behavior</w:t>
      </w:r>
      <w:proofErr w:type="spellEnd"/>
      <w:r>
        <w:rPr>
          <w:rFonts w:ascii="Times New Roman" w:hAnsi="Times New Roman" w:cs="Times New Roman"/>
          <w:sz w:val="24"/>
          <w:szCs w:val="24"/>
        </w:rPr>
        <w:t>.</w:t>
      </w:r>
    </w:p>
    <w:p>
      <w:r>
        <w:br w:type="page"/>
      </w:r>
    </w:p>
    <w:p>
      <w:pPr>
        <w:spacing w:line="480" w:lineRule="auto"/>
        <w:rPr>
          <w:rFonts w:ascii="Times New Roman" w:hAnsi="Times New Roman" w:cs="Times New Roman"/>
          <w:b/>
          <w:bCs/>
          <w:sz w:val="24"/>
          <w:szCs w:val="24"/>
        </w:rPr>
        <w:sectPr>
          <w:pgSz w:w="11906" w:h="16838"/>
          <w:pgMar w:top="1417" w:right="1417" w:bottom="1417" w:left="1417" w:header="708" w:footer="708" w:gutter="0"/>
          <w:lnNumType w:countBy="1" w:restart="continuous"/>
          <w:cols w:space="708"/>
          <w:docGrid w:linePitch="360"/>
        </w:sectPr>
      </w:pPr>
    </w:p>
    <w:p>
      <w:pPr>
        <w:spacing w:line="480" w:lineRule="auto"/>
        <w:rPr>
          <w:rFonts w:ascii="Times New Roman" w:hAnsi="Times New Roman" w:cs="Times New Roman"/>
          <w:sz w:val="24"/>
          <w:szCs w:val="24"/>
        </w:rPr>
      </w:pPr>
      <w:bookmarkStart w:id="3" w:name="OLE_LINK5"/>
      <w:r>
        <w:rPr>
          <w:rFonts w:ascii="Times New Roman" w:hAnsi="Times New Roman" w:cs="Times New Roman"/>
          <w:b/>
          <w:bCs/>
          <w:sz w:val="24"/>
          <w:szCs w:val="24"/>
        </w:rPr>
        <w:lastRenderedPageBreak/>
        <w:t>Table S3.</w:t>
      </w:r>
      <w:r>
        <w:rPr>
          <w:rFonts w:ascii="Times New Roman" w:hAnsi="Times New Roman" w:cs="Times New Roman"/>
          <w:sz w:val="24"/>
          <w:szCs w:val="24"/>
        </w:rPr>
        <w:t xml:space="preserve"> Raw and WT </w:t>
      </w:r>
      <w:proofErr w:type="spellStart"/>
      <w:r>
        <w:rPr>
          <w:rFonts w:ascii="Times New Roman" w:hAnsi="Times New Roman" w:cs="Times New Roman"/>
          <w:sz w:val="24"/>
          <w:szCs w:val="24"/>
        </w:rPr>
        <w:t>oxytree</w:t>
      </w:r>
      <w:proofErr w:type="spellEnd"/>
      <w:r>
        <w:rPr>
          <w:rFonts w:ascii="Times New Roman" w:hAnsi="Times New Roman" w:cs="Times New Roman"/>
          <w:sz w:val="24"/>
          <w:szCs w:val="24"/>
        </w:rPr>
        <w:t xml:space="preserve"> biomass properties.</w:t>
      </w:r>
    </w:p>
    <w:tbl>
      <w:tblPr>
        <w:tblW w:w="5000" w:type="pct"/>
        <w:tblBorders>
          <w:top w:val="single" w:sz="4" w:space="0" w:color="auto"/>
          <w:bottom w:val="single" w:sz="4" w:space="0" w:color="auto"/>
        </w:tblBorders>
        <w:tblLook w:val="00A0" w:firstRow="1" w:lastRow="0" w:firstColumn="1" w:lastColumn="0" w:noHBand="0" w:noVBand="0"/>
      </w:tblPr>
      <w:tblGrid>
        <w:gridCol w:w="1208"/>
        <w:gridCol w:w="1194"/>
        <w:gridCol w:w="1169"/>
        <w:gridCol w:w="1033"/>
        <w:gridCol w:w="1000"/>
        <w:gridCol w:w="1000"/>
        <w:gridCol w:w="1201"/>
        <w:gridCol w:w="1400"/>
        <w:gridCol w:w="1403"/>
        <w:gridCol w:w="1400"/>
        <w:gridCol w:w="994"/>
        <w:gridCol w:w="1000"/>
      </w:tblGrid>
      <w:tr>
        <w:trPr>
          <w:trHeight w:val="1380"/>
        </w:trPr>
        <w:tc>
          <w:tcPr>
            <w:tcW w:w="431" w:type="pct"/>
            <w:tcBorders>
              <w:top w:val="single" w:sz="4" w:space="0" w:color="auto"/>
              <w:bottom w:val="single" w:sz="4" w:space="0" w:color="auto"/>
            </w:tcBorders>
            <w:shd w:val="clear" w:color="auto" w:fill="FFFFFF" w:themeFill="background1"/>
            <w:noWrap/>
            <w:vAlign w:val="center"/>
            <w:hideMark/>
          </w:tcPr>
          <w:bookmarkEnd w:id="3"/>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Time</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(min)</w:t>
            </w:r>
          </w:p>
        </w:tc>
        <w:tc>
          <w:tcPr>
            <w:tcW w:w="426"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Temp</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t>
            </w:r>
            <w:r>
              <w:rPr>
                <w:rFonts w:ascii="Times New Roman" w:eastAsia="Times New Roman" w:hAnsi="Times New Roman" w:cs="Times New Roman"/>
                <w:b/>
                <w:bCs/>
                <w:color w:val="000000"/>
                <w:sz w:val="24"/>
                <w:szCs w:val="24"/>
              </w:rPr>
              <w:sym w:font="Symbol" w:char="F0B0"/>
            </w:r>
            <w:r>
              <w:rPr>
                <w:rFonts w:ascii="Times New Roman" w:eastAsia="Times New Roman" w:hAnsi="Times New Roman" w:cs="Times New Roman"/>
                <w:b/>
                <w:bCs/>
                <w:color w:val="000000"/>
                <w:sz w:val="24"/>
                <w:szCs w:val="24"/>
              </w:rPr>
              <w:t>C)</w:t>
            </w:r>
          </w:p>
        </w:tc>
        <w:tc>
          <w:tcPr>
            <w:tcW w:w="417"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sz w:val="24"/>
                <w:szCs w:val="24"/>
              </w:rPr>
              <w:t>(%)</w:t>
            </w:r>
          </w:p>
        </w:tc>
        <w:tc>
          <w:tcPr>
            <w:tcW w:w="369"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sz w:val="24"/>
                <w:szCs w:val="24"/>
              </w:rPr>
              <w:t>(%)</w:t>
            </w:r>
          </w:p>
        </w:tc>
        <w:tc>
          <w:tcPr>
            <w:tcW w:w="357"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N</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sz w:val="24"/>
                <w:szCs w:val="24"/>
              </w:rPr>
              <w:t>(%)</w:t>
            </w:r>
          </w:p>
        </w:tc>
        <w:tc>
          <w:tcPr>
            <w:tcW w:w="357"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Ash</w:t>
            </w:r>
          </w:p>
          <w:p>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w:t>
            </w:r>
          </w:p>
        </w:tc>
        <w:tc>
          <w:tcPr>
            <w:tcW w:w="429"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O</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sz w:val="24"/>
                <w:szCs w:val="24"/>
              </w:rPr>
              <w:t>(%)</w:t>
            </w:r>
          </w:p>
        </w:tc>
        <w:tc>
          <w:tcPr>
            <w:tcW w:w="500"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Degree of WT</w:t>
            </w:r>
          </w:p>
        </w:tc>
        <w:tc>
          <w:tcPr>
            <w:tcW w:w="501"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HHV (MJ/kg)</w:t>
            </w:r>
          </w:p>
        </w:tc>
        <w:tc>
          <w:tcPr>
            <w:tcW w:w="500"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proofErr w:type="spellStart"/>
            <w:r>
              <w:rPr>
                <w:rFonts w:ascii="Times New Roman" w:eastAsia="Times New Roman" w:hAnsi="Times New Roman" w:cs="Times New Roman"/>
                <w:b/>
                <w:bCs/>
                <w:color w:val="000000"/>
                <w:sz w:val="24"/>
                <w:szCs w:val="24"/>
              </w:rPr>
              <w:t>HHV</w:t>
            </w:r>
            <w:r>
              <w:rPr>
                <w:rFonts w:ascii="Times New Roman" w:eastAsia="Times New Roman" w:hAnsi="Times New Roman" w:cs="Times New Roman"/>
                <w:b/>
                <w:bCs/>
                <w:color w:val="000000"/>
                <w:sz w:val="24"/>
                <w:szCs w:val="24"/>
                <w:vertAlign w:val="subscript"/>
              </w:rPr>
              <w:t>increase</w:t>
            </w:r>
            <w:proofErr w:type="spellEnd"/>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t>
            </w:r>
          </w:p>
        </w:tc>
        <w:tc>
          <w:tcPr>
            <w:tcW w:w="355"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O/C</w:t>
            </w:r>
          </w:p>
        </w:tc>
        <w:tc>
          <w:tcPr>
            <w:tcW w:w="357"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H/C</w:t>
            </w:r>
          </w:p>
        </w:tc>
      </w:tr>
      <w:tr>
        <w:trPr>
          <w:trHeight w:val="340"/>
        </w:trPr>
        <w:tc>
          <w:tcPr>
            <w:tcW w:w="431"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Raw</w:t>
            </w:r>
          </w:p>
        </w:tc>
        <w:tc>
          <w:tcPr>
            <w:tcW w:w="426"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417"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45.14</w:t>
            </w:r>
          </w:p>
        </w:tc>
        <w:tc>
          <w:tcPr>
            <w:tcW w:w="369"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6.29</w:t>
            </w:r>
          </w:p>
        </w:tc>
        <w:tc>
          <w:tcPr>
            <w:tcW w:w="357"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0.91</w:t>
            </w:r>
          </w:p>
        </w:tc>
        <w:tc>
          <w:tcPr>
            <w:tcW w:w="357"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3.24</w:t>
            </w:r>
          </w:p>
        </w:tc>
        <w:tc>
          <w:tcPr>
            <w:tcW w:w="429" w:type="pct"/>
            <w:tcBorders>
              <w:top w:val="single" w:sz="4" w:space="0" w:color="auto"/>
              <w:bottom w:val="single" w:sz="4" w:space="0" w:color="auto"/>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44.39</w:t>
            </w:r>
          </w:p>
        </w:tc>
        <w:tc>
          <w:tcPr>
            <w:tcW w:w="500"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501" w:type="pct"/>
            <w:tcBorders>
              <w:top w:val="single" w:sz="4" w:space="0" w:color="auto"/>
              <w:bottom w:val="single" w:sz="4" w:space="0" w:color="auto"/>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16.3</w:t>
            </w:r>
          </w:p>
        </w:tc>
        <w:tc>
          <w:tcPr>
            <w:tcW w:w="500"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355" w:type="pct"/>
            <w:tcBorders>
              <w:top w:val="single" w:sz="4" w:space="0" w:color="auto"/>
              <w:bottom w:val="single" w:sz="4" w:space="0" w:color="auto"/>
            </w:tcBorders>
            <w:noWrap/>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0.74</w:t>
            </w:r>
          </w:p>
        </w:tc>
        <w:tc>
          <w:tcPr>
            <w:tcW w:w="357" w:type="pct"/>
            <w:tcBorders>
              <w:top w:val="single" w:sz="4" w:space="0" w:color="auto"/>
              <w:bottom w:val="single" w:sz="4" w:space="0" w:color="auto"/>
            </w:tcBorders>
            <w:vAlign w:val="center"/>
          </w:tcPr>
          <w:p>
            <w:pPr>
              <w:spacing w:after="0" w:line="480" w:lineRule="auto"/>
              <w:jc w:val="center"/>
              <w:rPr>
                <w:rFonts w:ascii="Times New Roman" w:eastAsia="Times New Roman" w:hAnsi="Times New Roman" w:cs="Times New Roman"/>
                <w:sz w:val="24"/>
                <w:szCs w:val="24"/>
              </w:rPr>
            </w:pPr>
            <w:r>
              <w:rPr>
                <w:rFonts w:ascii="Times New Roman" w:hAnsi="Times New Roman" w:cs="Times New Roman"/>
                <w:color w:val="000000"/>
                <w:sz w:val="24"/>
                <w:szCs w:val="24"/>
              </w:rPr>
              <w:t>1.67</w:t>
            </w:r>
          </w:p>
        </w:tc>
      </w:tr>
      <w:tr>
        <w:trPr>
          <w:trHeight w:val="340"/>
        </w:trPr>
        <w:tc>
          <w:tcPr>
            <w:tcW w:w="431" w:type="pct"/>
            <w:vMerge w:val="restar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c>
          <w:tcPr>
            <w:tcW w:w="426"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417"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54.40</w:t>
            </w:r>
          </w:p>
        </w:tc>
        <w:tc>
          <w:tcPr>
            <w:tcW w:w="369"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6.12</w:t>
            </w:r>
          </w:p>
        </w:tc>
        <w:tc>
          <w:tcPr>
            <w:tcW w:w="357"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1.30</w:t>
            </w:r>
          </w:p>
        </w:tc>
        <w:tc>
          <w:tcPr>
            <w:tcW w:w="357"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hAnsi="Times New Roman" w:cs="Times New Roman"/>
                <w:sz w:val="24"/>
                <w:szCs w:val="24"/>
              </w:rPr>
              <w:t>4.12</w:t>
            </w:r>
          </w:p>
        </w:tc>
        <w:tc>
          <w:tcPr>
            <w:tcW w:w="429"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34.06</w:t>
            </w:r>
          </w:p>
        </w:tc>
        <w:tc>
          <w:tcPr>
            <w:tcW w:w="500"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1.29</w:t>
            </w:r>
          </w:p>
        </w:tc>
        <w:tc>
          <w:tcPr>
            <w:tcW w:w="501"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21.09</w:t>
            </w:r>
          </w:p>
        </w:tc>
        <w:tc>
          <w:tcPr>
            <w:tcW w:w="500"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22.5</w:t>
            </w:r>
          </w:p>
        </w:tc>
        <w:tc>
          <w:tcPr>
            <w:tcW w:w="355"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0.47</w:t>
            </w:r>
          </w:p>
        </w:tc>
        <w:tc>
          <w:tcPr>
            <w:tcW w:w="357"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1.35</w:t>
            </w:r>
          </w:p>
        </w:tc>
      </w:tr>
      <w:tr>
        <w:trPr>
          <w:trHeight w:val="340"/>
        </w:trPr>
        <w:tc>
          <w:tcPr>
            <w:tcW w:w="431" w:type="pct"/>
            <w:vMerge/>
            <w:tcBorders>
              <w:top w:val="nil"/>
              <w:bottom w:val="nil"/>
            </w:tcBorders>
            <w:vAlign w:val="center"/>
            <w:hideMark/>
          </w:tcPr>
          <w:p>
            <w:pPr>
              <w:spacing w:after="0" w:line="480" w:lineRule="auto"/>
              <w:jc w:val="center"/>
              <w:rPr>
                <w:rFonts w:ascii="Times New Roman" w:eastAsia="Times New Roman" w:hAnsi="Times New Roman" w:cs="Times New Roman"/>
                <w:color w:val="000000"/>
                <w:sz w:val="24"/>
                <w:szCs w:val="24"/>
              </w:rPr>
            </w:pPr>
          </w:p>
        </w:tc>
        <w:tc>
          <w:tcPr>
            <w:tcW w:w="426"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w:t>
            </w:r>
          </w:p>
        </w:tc>
        <w:tc>
          <w:tcPr>
            <w:tcW w:w="417"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56.40</w:t>
            </w:r>
          </w:p>
        </w:tc>
        <w:tc>
          <w:tcPr>
            <w:tcW w:w="369"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6.06</w:t>
            </w:r>
          </w:p>
        </w:tc>
        <w:tc>
          <w:tcPr>
            <w:tcW w:w="357"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1.18</w:t>
            </w:r>
          </w:p>
        </w:tc>
        <w:tc>
          <w:tcPr>
            <w:tcW w:w="357"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hAnsi="Times New Roman" w:cs="Times New Roman"/>
                <w:sz w:val="24"/>
                <w:szCs w:val="24"/>
              </w:rPr>
              <w:t>4.78</w:t>
            </w:r>
          </w:p>
        </w:tc>
        <w:tc>
          <w:tcPr>
            <w:tcW w:w="429"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31.58</w:t>
            </w:r>
          </w:p>
        </w:tc>
        <w:tc>
          <w:tcPr>
            <w:tcW w:w="500"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1.35</w:t>
            </w:r>
          </w:p>
        </w:tc>
        <w:tc>
          <w:tcPr>
            <w:tcW w:w="501"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22.13</w:t>
            </w:r>
          </w:p>
        </w:tc>
        <w:tc>
          <w:tcPr>
            <w:tcW w:w="500"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26.1</w:t>
            </w:r>
          </w:p>
        </w:tc>
        <w:tc>
          <w:tcPr>
            <w:tcW w:w="355"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0.42</w:t>
            </w:r>
          </w:p>
        </w:tc>
        <w:tc>
          <w:tcPr>
            <w:tcW w:w="357"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1.29</w:t>
            </w:r>
          </w:p>
        </w:tc>
      </w:tr>
      <w:tr>
        <w:trPr>
          <w:trHeight w:val="340"/>
        </w:trPr>
        <w:tc>
          <w:tcPr>
            <w:tcW w:w="431" w:type="pct"/>
            <w:vMerge/>
            <w:tcBorders>
              <w:top w:val="nil"/>
              <w:bottom w:val="nil"/>
            </w:tcBorders>
            <w:vAlign w:val="center"/>
            <w:hideMark/>
          </w:tcPr>
          <w:p>
            <w:pPr>
              <w:spacing w:after="0" w:line="480" w:lineRule="auto"/>
              <w:jc w:val="center"/>
              <w:rPr>
                <w:rFonts w:ascii="Times New Roman" w:eastAsia="Times New Roman" w:hAnsi="Times New Roman" w:cs="Times New Roman"/>
                <w:color w:val="000000"/>
                <w:sz w:val="24"/>
                <w:szCs w:val="24"/>
              </w:rPr>
            </w:pPr>
          </w:p>
        </w:tc>
        <w:tc>
          <w:tcPr>
            <w:tcW w:w="426"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240</w:t>
            </w:r>
          </w:p>
        </w:tc>
        <w:tc>
          <w:tcPr>
            <w:tcW w:w="417"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60.80</w:t>
            </w:r>
          </w:p>
        </w:tc>
        <w:tc>
          <w:tcPr>
            <w:tcW w:w="369"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5.83</w:t>
            </w:r>
          </w:p>
        </w:tc>
        <w:tc>
          <w:tcPr>
            <w:tcW w:w="357"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1.49</w:t>
            </w:r>
          </w:p>
        </w:tc>
        <w:tc>
          <w:tcPr>
            <w:tcW w:w="357" w:type="pct"/>
            <w:tcBorders>
              <w:top w:val="nil"/>
              <w:bottom w:val="nil"/>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hAnsi="Times New Roman" w:cs="Times New Roman"/>
                <w:sz w:val="24"/>
                <w:szCs w:val="24"/>
              </w:rPr>
              <w:t>5.15</w:t>
            </w:r>
          </w:p>
        </w:tc>
        <w:tc>
          <w:tcPr>
            <w:tcW w:w="429"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26.73</w:t>
            </w:r>
          </w:p>
        </w:tc>
        <w:tc>
          <w:tcPr>
            <w:tcW w:w="500"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1.48</w:t>
            </w:r>
          </w:p>
        </w:tc>
        <w:tc>
          <w:tcPr>
            <w:tcW w:w="501"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24.16</w:t>
            </w:r>
          </w:p>
        </w:tc>
        <w:tc>
          <w:tcPr>
            <w:tcW w:w="500"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32.3</w:t>
            </w:r>
          </w:p>
        </w:tc>
        <w:tc>
          <w:tcPr>
            <w:tcW w:w="355"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0.33</w:t>
            </w:r>
          </w:p>
        </w:tc>
        <w:tc>
          <w:tcPr>
            <w:tcW w:w="357"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1.15</w:t>
            </w:r>
          </w:p>
        </w:tc>
      </w:tr>
      <w:tr>
        <w:trPr>
          <w:trHeight w:val="340"/>
        </w:trPr>
        <w:tc>
          <w:tcPr>
            <w:tcW w:w="431" w:type="pct"/>
            <w:vMerge/>
            <w:tcBorders>
              <w:top w:val="nil"/>
              <w:bottom w:val="single" w:sz="4" w:space="0" w:color="auto"/>
            </w:tcBorders>
            <w:vAlign w:val="center"/>
            <w:hideMark/>
          </w:tcPr>
          <w:p>
            <w:pPr>
              <w:spacing w:after="0" w:line="480" w:lineRule="auto"/>
              <w:jc w:val="center"/>
              <w:rPr>
                <w:rFonts w:ascii="Times New Roman" w:eastAsia="Times New Roman" w:hAnsi="Times New Roman" w:cs="Times New Roman"/>
                <w:color w:val="000000"/>
                <w:sz w:val="24"/>
                <w:szCs w:val="24"/>
              </w:rPr>
            </w:pPr>
          </w:p>
        </w:tc>
        <w:tc>
          <w:tcPr>
            <w:tcW w:w="426"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260</w:t>
            </w:r>
          </w:p>
        </w:tc>
        <w:tc>
          <w:tcPr>
            <w:tcW w:w="417"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67.20</w:t>
            </w:r>
          </w:p>
        </w:tc>
        <w:tc>
          <w:tcPr>
            <w:tcW w:w="369"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5.61</w:t>
            </w:r>
          </w:p>
        </w:tc>
        <w:tc>
          <w:tcPr>
            <w:tcW w:w="357"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1.88</w:t>
            </w:r>
          </w:p>
        </w:tc>
        <w:tc>
          <w:tcPr>
            <w:tcW w:w="357"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hAnsi="Times New Roman" w:cs="Times New Roman"/>
                <w:sz w:val="24"/>
                <w:szCs w:val="24"/>
              </w:rPr>
              <w:t>5.68</w:t>
            </w:r>
          </w:p>
        </w:tc>
        <w:tc>
          <w:tcPr>
            <w:tcW w:w="429"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19.63</w:t>
            </w:r>
          </w:p>
        </w:tc>
        <w:tc>
          <w:tcPr>
            <w:tcW w:w="500"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1.67</w:t>
            </w:r>
          </w:p>
        </w:tc>
        <w:tc>
          <w:tcPr>
            <w:tcW w:w="501"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27.29</w:t>
            </w:r>
          </w:p>
        </w:tc>
        <w:tc>
          <w:tcPr>
            <w:tcW w:w="500"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40.1</w:t>
            </w:r>
          </w:p>
        </w:tc>
        <w:tc>
          <w:tcPr>
            <w:tcW w:w="355"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0.22</w:t>
            </w:r>
          </w:p>
        </w:tc>
        <w:tc>
          <w:tcPr>
            <w:tcW w:w="357"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1.00</w:t>
            </w:r>
          </w:p>
        </w:tc>
      </w:tr>
      <w:tr>
        <w:trPr>
          <w:trHeight w:val="340"/>
        </w:trPr>
        <w:tc>
          <w:tcPr>
            <w:tcW w:w="431" w:type="pct"/>
            <w:vMerge w:val="restar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426"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417"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55.80</w:t>
            </w:r>
          </w:p>
        </w:tc>
        <w:tc>
          <w:tcPr>
            <w:tcW w:w="369"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5.95</w:t>
            </w:r>
          </w:p>
        </w:tc>
        <w:tc>
          <w:tcPr>
            <w:tcW w:w="357"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1.26</w:t>
            </w:r>
          </w:p>
        </w:tc>
        <w:tc>
          <w:tcPr>
            <w:tcW w:w="357"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hAnsi="Times New Roman" w:cs="Times New Roman"/>
                <w:sz w:val="24"/>
                <w:szCs w:val="24"/>
              </w:rPr>
              <w:t>4.42</w:t>
            </w:r>
          </w:p>
        </w:tc>
        <w:tc>
          <w:tcPr>
            <w:tcW w:w="429"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32.57</w:t>
            </w:r>
          </w:p>
        </w:tc>
        <w:tc>
          <w:tcPr>
            <w:tcW w:w="500"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1.32</w:t>
            </w:r>
          </w:p>
        </w:tc>
        <w:tc>
          <w:tcPr>
            <w:tcW w:w="501"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21.59</w:t>
            </w:r>
          </w:p>
        </w:tc>
        <w:tc>
          <w:tcPr>
            <w:tcW w:w="500"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24.3</w:t>
            </w:r>
          </w:p>
        </w:tc>
        <w:tc>
          <w:tcPr>
            <w:tcW w:w="355"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0.44</w:t>
            </w:r>
          </w:p>
        </w:tc>
        <w:tc>
          <w:tcPr>
            <w:tcW w:w="357"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1.28</w:t>
            </w:r>
          </w:p>
        </w:tc>
      </w:tr>
      <w:tr>
        <w:trPr>
          <w:trHeight w:val="340"/>
        </w:trPr>
        <w:tc>
          <w:tcPr>
            <w:tcW w:w="431" w:type="pct"/>
            <w:vMerge/>
            <w:vAlign w:val="center"/>
            <w:hideMark/>
          </w:tcPr>
          <w:p>
            <w:pPr>
              <w:spacing w:after="0" w:line="480" w:lineRule="auto"/>
              <w:jc w:val="center"/>
              <w:rPr>
                <w:rFonts w:ascii="Times New Roman" w:eastAsia="Times New Roman" w:hAnsi="Times New Roman" w:cs="Times New Roman"/>
                <w:color w:val="000000"/>
                <w:sz w:val="24"/>
                <w:szCs w:val="24"/>
              </w:rPr>
            </w:pPr>
          </w:p>
        </w:tc>
        <w:tc>
          <w:tcPr>
            <w:tcW w:w="426"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w:t>
            </w:r>
          </w:p>
        </w:tc>
        <w:tc>
          <w:tcPr>
            <w:tcW w:w="41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57.30</w:t>
            </w:r>
          </w:p>
        </w:tc>
        <w:tc>
          <w:tcPr>
            <w:tcW w:w="369"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6.06</w:t>
            </w:r>
          </w:p>
        </w:tc>
        <w:tc>
          <w:tcPr>
            <w:tcW w:w="35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1.26</w:t>
            </w:r>
          </w:p>
        </w:tc>
        <w:tc>
          <w:tcPr>
            <w:tcW w:w="35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hAnsi="Times New Roman" w:cs="Times New Roman"/>
                <w:sz w:val="24"/>
                <w:szCs w:val="24"/>
              </w:rPr>
              <w:t>4.99</w:t>
            </w:r>
          </w:p>
        </w:tc>
        <w:tc>
          <w:tcPr>
            <w:tcW w:w="429"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30.39</w:t>
            </w:r>
          </w:p>
        </w:tc>
        <w:tc>
          <w:tcPr>
            <w:tcW w:w="50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1.39</w:t>
            </w:r>
          </w:p>
        </w:tc>
        <w:tc>
          <w:tcPr>
            <w:tcW w:w="501"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22.65</w:t>
            </w:r>
          </w:p>
        </w:tc>
        <w:tc>
          <w:tcPr>
            <w:tcW w:w="50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27.8</w:t>
            </w:r>
          </w:p>
        </w:tc>
        <w:tc>
          <w:tcPr>
            <w:tcW w:w="355"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0.40</w:t>
            </w:r>
          </w:p>
        </w:tc>
        <w:tc>
          <w:tcPr>
            <w:tcW w:w="35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1.27</w:t>
            </w:r>
          </w:p>
        </w:tc>
      </w:tr>
      <w:tr>
        <w:trPr>
          <w:trHeight w:val="340"/>
        </w:trPr>
        <w:tc>
          <w:tcPr>
            <w:tcW w:w="431" w:type="pct"/>
            <w:vMerge/>
            <w:vAlign w:val="center"/>
            <w:hideMark/>
          </w:tcPr>
          <w:p>
            <w:pPr>
              <w:spacing w:after="0" w:line="480" w:lineRule="auto"/>
              <w:jc w:val="center"/>
              <w:rPr>
                <w:rFonts w:ascii="Times New Roman" w:eastAsia="Times New Roman" w:hAnsi="Times New Roman" w:cs="Times New Roman"/>
                <w:color w:val="000000"/>
                <w:sz w:val="24"/>
                <w:szCs w:val="24"/>
              </w:rPr>
            </w:pPr>
          </w:p>
        </w:tc>
        <w:tc>
          <w:tcPr>
            <w:tcW w:w="426"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240</w:t>
            </w:r>
          </w:p>
        </w:tc>
        <w:tc>
          <w:tcPr>
            <w:tcW w:w="41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62.04</w:t>
            </w:r>
          </w:p>
        </w:tc>
        <w:tc>
          <w:tcPr>
            <w:tcW w:w="369"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5.75</w:t>
            </w:r>
          </w:p>
        </w:tc>
        <w:tc>
          <w:tcPr>
            <w:tcW w:w="35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1.66</w:t>
            </w:r>
          </w:p>
        </w:tc>
        <w:tc>
          <w:tcPr>
            <w:tcW w:w="35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hAnsi="Times New Roman" w:cs="Times New Roman"/>
                <w:sz w:val="24"/>
                <w:szCs w:val="24"/>
              </w:rPr>
              <w:t>5.33</w:t>
            </w:r>
          </w:p>
        </w:tc>
        <w:tc>
          <w:tcPr>
            <w:tcW w:w="429"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25.22</w:t>
            </w:r>
          </w:p>
        </w:tc>
        <w:tc>
          <w:tcPr>
            <w:tcW w:w="50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1.51</w:t>
            </w:r>
          </w:p>
        </w:tc>
        <w:tc>
          <w:tcPr>
            <w:tcW w:w="501"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24.74</w:t>
            </w:r>
          </w:p>
        </w:tc>
        <w:tc>
          <w:tcPr>
            <w:tcW w:w="50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33.9</w:t>
            </w:r>
          </w:p>
        </w:tc>
        <w:tc>
          <w:tcPr>
            <w:tcW w:w="355"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0.30</w:t>
            </w:r>
          </w:p>
        </w:tc>
        <w:tc>
          <w:tcPr>
            <w:tcW w:w="35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1.11</w:t>
            </w:r>
          </w:p>
        </w:tc>
      </w:tr>
      <w:tr>
        <w:trPr>
          <w:trHeight w:val="340"/>
        </w:trPr>
        <w:tc>
          <w:tcPr>
            <w:tcW w:w="431" w:type="pct"/>
            <w:vMerge/>
            <w:vAlign w:val="center"/>
            <w:hideMark/>
          </w:tcPr>
          <w:p>
            <w:pPr>
              <w:spacing w:after="0" w:line="480" w:lineRule="auto"/>
              <w:jc w:val="center"/>
              <w:rPr>
                <w:rFonts w:ascii="Times New Roman" w:eastAsia="Times New Roman" w:hAnsi="Times New Roman" w:cs="Times New Roman"/>
                <w:color w:val="000000"/>
                <w:sz w:val="24"/>
                <w:szCs w:val="24"/>
              </w:rPr>
            </w:pPr>
          </w:p>
        </w:tc>
        <w:tc>
          <w:tcPr>
            <w:tcW w:w="426"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260</w:t>
            </w:r>
          </w:p>
        </w:tc>
        <w:tc>
          <w:tcPr>
            <w:tcW w:w="41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68.30</w:t>
            </w:r>
          </w:p>
        </w:tc>
        <w:tc>
          <w:tcPr>
            <w:tcW w:w="369"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5.47</w:t>
            </w:r>
          </w:p>
        </w:tc>
        <w:tc>
          <w:tcPr>
            <w:tcW w:w="35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1.99</w:t>
            </w:r>
          </w:p>
        </w:tc>
        <w:tc>
          <w:tcPr>
            <w:tcW w:w="357" w:type="pct"/>
            <w:noWrap/>
            <w:vAlign w:val="center"/>
            <w:hideMark/>
          </w:tcPr>
          <w:p>
            <w:pPr>
              <w:spacing w:after="0" w:line="480" w:lineRule="auto"/>
              <w:jc w:val="center"/>
              <w:rPr>
                <w:rFonts w:ascii="Times New Roman" w:eastAsia="Times New Roman" w:hAnsi="Times New Roman" w:cs="Times New Roman"/>
                <w:sz w:val="24"/>
                <w:szCs w:val="24"/>
              </w:rPr>
            </w:pPr>
            <w:r>
              <w:rPr>
                <w:rFonts w:ascii="Times New Roman" w:hAnsi="Times New Roman" w:cs="Times New Roman"/>
                <w:sz w:val="24"/>
                <w:szCs w:val="24"/>
              </w:rPr>
              <w:t>6.94</w:t>
            </w:r>
          </w:p>
        </w:tc>
        <w:tc>
          <w:tcPr>
            <w:tcW w:w="429"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17.30</w:t>
            </w:r>
          </w:p>
        </w:tc>
        <w:tc>
          <w:tcPr>
            <w:tcW w:w="50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1.71</w:t>
            </w:r>
          </w:p>
        </w:tc>
        <w:tc>
          <w:tcPr>
            <w:tcW w:w="501"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27.88</w:t>
            </w:r>
          </w:p>
        </w:tc>
        <w:tc>
          <w:tcPr>
            <w:tcW w:w="50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41.4</w:t>
            </w:r>
          </w:p>
        </w:tc>
        <w:tc>
          <w:tcPr>
            <w:tcW w:w="355"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0.19</w:t>
            </w:r>
          </w:p>
        </w:tc>
        <w:tc>
          <w:tcPr>
            <w:tcW w:w="357"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0.96</w:t>
            </w:r>
          </w:p>
        </w:tc>
      </w:tr>
    </w:tbl>
    <w:p>
      <w:pPr>
        <w:spacing w:after="0" w:line="480" w:lineRule="auto"/>
        <w:jc w:val="both"/>
        <w:rPr>
          <w:rFonts w:ascii="Times New Roman" w:hAnsi="Times New Roman" w:cs="Times New Roman"/>
          <w:sz w:val="24"/>
          <w:szCs w:val="24"/>
        </w:rPr>
        <w:sectPr>
          <w:pgSz w:w="16838" w:h="11906" w:orient="landscape"/>
          <w:pgMar w:top="1418" w:right="1418" w:bottom="1418" w:left="1418" w:header="709" w:footer="709" w:gutter="0"/>
          <w:lnNumType w:countBy="1" w:restart="continuous"/>
          <w:cols w:space="708"/>
          <w:docGrid w:linePitch="360"/>
        </w:sectPr>
      </w:pPr>
    </w:p>
    <w:p>
      <w:pPr>
        <w:spacing w:after="0" w:line="480" w:lineRule="auto"/>
        <w:rPr>
          <w:rFonts w:ascii="Times New Roman" w:hAnsi="Times New Roman" w:cs="Times New Roman"/>
          <w:sz w:val="24"/>
          <w:szCs w:val="24"/>
        </w:rPr>
      </w:pPr>
      <w:r>
        <w:rPr>
          <w:rFonts w:ascii="Times New Roman" w:hAnsi="Times New Roman" w:cs="Times New Roman"/>
          <w:b/>
          <w:bCs/>
          <w:sz w:val="24"/>
          <w:szCs w:val="24"/>
        </w:rPr>
        <w:lastRenderedPageBreak/>
        <w:t>Table S4.</w:t>
      </w:r>
      <w:r>
        <w:rPr>
          <w:rFonts w:ascii="Times New Roman" w:hAnsi="Times New Roman" w:cs="Times New Roman"/>
          <w:sz w:val="24"/>
          <w:szCs w:val="24"/>
        </w:rPr>
        <w:t xml:space="preserve"> Effect of torrefaction temperature and residence time on </w:t>
      </w:r>
      <w:proofErr w:type="spellStart"/>
      <w:r>
        <w:rPr>
          <w:rFonts w:ascii="Times New Roman" w:hAnsi="Times New Roman" w:cs="Times New Roman"/>
          <w:sz w:val="24"/>
          <w:szCs w:val="24"/>
        </w:rPr>
        <w:t>oxytree</w:t>
      </w:r>
      <w:proofErr w:type="spellEnd"/>
      <w:r>
        <w:rPr>
          <w:rFonts w:ascii="Times New Roman" w:hAnsi="Times New Roman" w:cs="Times New Roman"/>
          <w:sz w:val="24"/>
          <w:szCs w:val="24"/>
        </w:rPr>
        <w:t xml:space="preserve"> biomass under WT conditions.</w:t>
      </w:r>
    </w:p>
    <w:tbl>
      <w:tblPr>
        <w:tblW w:w="5000" w:type="pct"/>
        <w:tblBorders>
          <w:top w:val="single" w:sz="4" w:space="0" w:color="auto"/>
          <w:bottom w:val="single" w:sz="4" w:space="0" w:color="auto"/>
        </w:tblBorders>
        <w:tblLook w:val="04A0" w:firstRow="1" w:lastRow="0" w:firstColumn="1" w:lastColumn="0" w:noHBand="0" w:noVBand="1"/>
      </w:tblPr>
      <w:tblGrid>
        <w:gridCol w:w="1075"/>
        <w:gridCol w:w="1075"/>
        <w:gridCol w:w="1325"/>
        <w:gridCol w:w="762"/>
        <w:gridCol w:w="924"/>
        <w:gridCol w:w="1075"/>
        <w:gridCol w:w="1073"/>
        <w:gridCol w:w="1075"/>
        <w:gridCol w:w="1075"/>
        <w:gridCol w:w="1243"/>
        <w:gridCol w:w="1910"/>
        <w:gridCol w:w="1390"/>
      </w:tblGrid>
      <w:tr>
        <w:trPr>
          <w:cantSplit/>
          <w:trHeight w:val="1380"/>
        </w:trPr>
        <w:tc>
          <w:tcPr>
            <w:tcW w:w="384" w:type="pct"/>
            <w:tcBorders>
              <w:top w:val="single" w:sz="4" w:space="0" w:color="auto"/>
              <w:bottom w:val="single" w:sz="4" w:space="0" w:color="auto"/>
            </w:tcBorders>
            <w:shd w:val="clear" w:color="auto" w:fill="FFFFFF" w:themeFill="background1"/>
            <w:vAlign w:val="center"/>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Time</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(min)</w:t>
            </w:r>
          </w:p>
        </w:tc>
        <w:tc>
          <w:tcPr>
            <w:tcW w:w="384" w:type="pct"/>
            <w:tcBorders>
              <w:top w:val="single" w:sz="4" w:space="0" w:color="auto"/>
              <w:bottom w:val="single" w:sz="4" w:space="0" w:color="auto"/>
            </w:tcBorders>
            <w:shd w:val="clear" w:color="auto" w:fill="FFFFFF" w:themeFill="background1"/>
            <w:vAlign w:val="center"/>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Temp</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t>
            </w:r>
            <w:r>
              <w:rPr>
                <w:rFonts w:ascii="Times New Roman" w:eastAsia="Times New Roman" w:hAnsi="Times New Roman" w:cs="Times New Roman"/>
                <w:b/>
                <w:bCs/>
                <w:color w:val="000000"/>
                <w:sz w:val="24"/>
                <w:szCs w:val="24"/>
              </w:rPr>
              <w:sym w:font="Symbol" w:char="F0B0"/>
            </w:r>
            <w:r>
              <w:rPr>
                <w:rFonts w:ascii="Times New Roman" w:eastAsia="Times New Roman" w:hAnsi="Times New Roman" w:cs="Times New Roman"/>
                <w:b/>
                <w:bCs/>
                <w:color w:val="000000"/>
                <w:sz w:val="24"/>
                <w:szCs w:val="24"/>
              </w:rPr>
              <w:t>C)</w:t>
            </w:r>
          </w:p>
        </w:tc>
        <w:tc>
          <w:tcPr>
            <w:tcW w:w="473"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proofErr w:type="spellStart"/>
            <w:r>
              <w:rPr>
                <w:rFonts w:ascii="Times New Roman" w:eastAsia="Times New Roman" w:hAnsi="Times New Roman" w:cs="Times New Roman"/>
                <w:b/>
                <w:bCs/>
                <w:color w:val="000000"/>
                <w:sz w:val="24"/>
                <w:szCs w:val="24"/>
              </w:rPr>
              <w:t>HHV</w:t>
            </w:r>
            <w:r>
              <w:rPr>
                <w:rFonts w:ascii="Times New Roman" w:eastAsia="Times New Roman" w:hAnsi="Times New Roman" w:cs="Times New Roman"/>
                <w:b/>
                <w:bCs/>
                <w:color w:val="000000"/>
                <w:sz w:val="24"/>
                <w:szCs w:val="24"/>
                <w:vertAlign w:val="subscript"/>
              </w:rPr>
              <w:t>increase</w:t>
            </w:r>
            <w:proofErr w:type="spellEnd"/>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t>
            </w:r>
          </w:p>
        </w:tc>
        <w:tc>
          <w:tcPr>
            <w:tcW w:w="272"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O/C</w:t>
            </w:r>
          </w:p>
        </w:tc>
        <w:tc>
          <w:tcPr>
            <w:tcW w:w="330" w:type="pct"/>
            <w:tcBorders>
              <w:top w:val="single" w:sz="4" w:space="0" w:color="auto"/>
              <w:bottom w:val="single" w:sz="4" w:space="0" w:color="auto"/>
            </w:tcBorders>
            <w:shd w:val="clear" w:color="auto" w:fill="FFFFFF" w:themeFill="background1"/>
            <w:noWrap/>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H/C</w:t>
            </w:r>
          </w:p>
        </w:tc>
        <w:tc>
          <w:tcPr>
            <w:tcW w:w="384"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Mass loss (%)</w:t>
            </w:r>
          </w:p>
        </w:tc>
        <w:tc>
          <w:tcPr>
            <w:tcW w:w="383"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Mass yield (%)</w:t>
            </w:r>
          </w:p>
        </w:tc>
        <w:tc>
          <w:tcPr>
            <w:tcW w:w="384"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Energy yield (%)</w:t>
            </w:r>
          </w:p>
        </w:tc>
        <w:tc>
          <w:tcPr>
            <w:tcW w:w="384"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Carbon yield (%)</w:t>
            </w:r>
          </w:p>
        </w:tc>
        <w:tc>
          <w:tcPr>
            <w:tcW w:w="444"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Hydrogen yield (%)</w:t>
            </w:r>
          </w:p>
        </w:tc>
        <w:tc>
          <w:tcPr>
            <w:tcW w:w="682"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Decarbonization</w:t>
            </w:r>
          </w:p>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t>
            </w:r>
          </w:p>
        </w:tc>
        <w:tc>
          <w:tcPr>
            <w:tcW w:w="496" w:type="pct"/>
            <w:tcBorders>
              <w:top w:val="single" w:sz="4" w:space="0" w:color="auto"/>
              <w:bottom w:val="single" w:sz="4" w:space="0" w:color="auto"/>
            </w:tcBorders>
            <w:shd w:val="clear" w:color="auto" w:fill="FFFFFF" w:themeFill="background1"/>
            <w:vAlign w:val="center"/>
            <w:hideMark/>
          </w:tcPr>
          <w:p>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Carbon enrichment</w:t>
            </w:r>
          </w:p>
        </w:tc>
      </w:tr>
      <w:tr>
        <w:trPr>
          <w:trHeight w:val="340"/>
        </w:trPr>
        <w:tc>
          <w:tcPr>
            <w:tcW w:w="384" w:type="pct"/>
            <w:tcBorders>
              <w:top w:val="single" w:sz="4" w:space="0" w:color="auto"/>
              <w:bottom w:val="single" w:sz="4" w:space="0" w:color="auto"/>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Raw</w:t>
            </w:r>
          </w:p>
        </w:tc>
        <w:tc>
          <w:tcPr>
            <w:tcW w:w="384" w:type="pct"/>
            <w:tcBorders>
              <w:top w:val="single" w:sz="4" w:space="0" w:color="auto"/>
              <w:bottom w:val="single" w:sz="4" w:space="0" w:color="auto"/>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473" w:type="pct"/>
            <w:tcBorders>
              <w:top w:val="single" w:sz="4" w:space="0" w:color="auto"/>
              <w:bottom w:val="single" w:sz="4" w:space="0" w:color="auto"/>
            </w:tcBorders>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272"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0.74</w:t>
            </w:r>
          </w:p>
        </w:tc>
        <w:tc>
          <w:tcPr>
            <w:tcW w:w="330"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1.67</w:t>
            </w:r>
          </w:p>
        </w:tc>
        <w:tc>
          <w:tcPr>
            <w:tcW w:w="384"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383"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100.00</w:t>
            </w:r>
          </w:p>
        </w:tc>
        <w:tc>
          <w:tcPr>
            <w:tcW w:w="384"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384"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444"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682"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496" w:type="pct"/>
            <w:tcBorders>
              <w:top w:val="single" w:sz="4" w:space="0" w:color="auto"/>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r>
      <w:tr>
        <w:trPr>
          <w:trHeight w:val="340"/>
        </w:trPr>
        <w:tc>
          <w:tcPr>
            <w:tcW w:w="384" w:type="pct"/>
            <w:vMerge w:val="restart"/>
            <w:tcBorders>
              <w:top w:val="single" w:sz="4" w:space="0" w:color="auto"/>
              <w:bottom w:val="nil"/>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c>
          <w:tcPr>
            <w:tcW w:w="384" w:type="pct"/>
            <w:tcBorders>
              <w:top w:val="single" w:sz="4" w:space="0" w:color="auto"/>
              <w:bottom w:val="nil"/>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473"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22.5</w:t>
            </w:r>
          </w:p>
        </w:tc>
        <w:tc>
          <w:tcPr>
            <w:tcW w:w="272"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0.47</w:t>
            </w:r>
          </w:p>
        </w:tc>
        <w:tc>
          <w:tcPr>
            <w:tcW w:w="330"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1.35</w:t>
            </w:r>
          </w:p>
        </w:tc>
        <w:tc>
          <w:tcPr>
            <w:tcW w:w="384" w:type="pct"/>
            <w:tcBorders>
              <w:top w:val="single" w:sz="4" w:space="0" w:color="auto"/>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24.60</w:t>
            </w:r>
          </w:p>
        </w:tc>
        <w:tc>
          <w:tcPr>
            <w:tcW w:w="383" w:type="pct"/>
            <w:tcBorders>
              <w:top w:val="single" w:sz="4" w:space="0" w:color="auto"/>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66.40</w:t>
            </w:r>
          </w:p>
        </w:tc>
        <w:tc>
          <w:tcPr>
            <w:tcW w:w="384" w:type="pct"/>
            <w:tcBorders>
              <w:top w:val="single" w:sz="4" w:space="0" w:color="auto"/>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85.67</w:t>
            </w:r>
          </w:p>
        </w:tc>
        <w:tc>
          <w:tcPr>
            <w:tcW w:w="384" w:type="pct"/>
            <w:tcBorders>
              <w:top w:val="single" w:sz="4" w:space="0" w:color="auto"/>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80.03</w:t>
            </w:r>
          </w:p>
        </w:tc>
        <w:tc>
          <w:tcPr>
            <w:tcW w:w="444" w:type="pct"/>
            <w:tcBorders>
              <w:top w:val="single" w:sz="4" w:space="0" w:color="auto"/>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83.31</w:t>
            </w:r>
          </w:p>
        </w:tc>
        <w:tc>
          <w:tcPr>
            <w:tcW w:w="682" w:type="pct"/>
            <w:tcBorders>
              <w:top w:val="single" w:sz="4" w:space="0" w:color="auto"/>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19.97</w:t>
            </w:r>
          </w:p>
        </w:tc>
        <w:tc>
          <w:tcPr>
            <w:tcW w:w="496" w:type="pct"/>
            <w:tcBorders>
              <w:top w:val="single" w:sz="4" w:space="0" w:color="auto"/>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1.21</w:t>
            </w:r>
          </w:p>
        </w:tc>
      </w:tr>
      <w:tr>
        <w:trPr>
          <w:trHeight w:val="340"/>
        </w:trPr>
        <w:tc>
          <w:tcPr>
            <w:tcW w:w="384" w:type="pct"/>
            <w:vMerge/>
            <w:tcBorders>
              <w:top w:val="nil"/>
              <w:bottom w:val="nil"/>
            </w:tcBorders>
            <w:vAlign w:val="center"/>
          </w:tcPr>
          <w:p>
            <w:pPr>
              <w:spacing w:after="0" w:line="480" w:lineRule="auto"/>
              <w:jc w:val="center"/>
              <w:rPr>
                <w:rFonts w:ascii="Times New Roman" w:eastAsia="Times New Roman" w:hAnsi="Times New Roman" w:cs="Times New Roman"/>
                <w:color w:val="000000"/>
                <w:sz w:val="24"/>
                <w:szCs w:val="24"/>
              </w:rPr>
            </w:pPr>
          </w:p>
        </w:tc>
        <w:tc>
          <w:tcPr>
            <w:tcW w:w="384" w:type="pct"/>
            <w:tcBorders>
              <w:top w:val="nil"/>
              <w:bottom w:val="nil"/>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w:t>
            </w:r>
          </w:p>
        </w:tc>
        <w:tc>
          <w:tcPr>
            <w:tcW w:w="473"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26.1</w:t>
            </w:r>
          </w:p>
        </w:tc>
        <w:tc>
          <w:tcPr>
            <w:tcW w:w="272"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0.42</w:t>
            </w:r>
          </w:p>
        </w:tc>
        <w:tc>
          <w:tcPr>
            <w:tcW w:w="330"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1.29</w:t>
            </w:r>
          </w:p>
        </w:tc>
        <w:tc>
          <w:tcPr>
            <w:tcW w:w="384"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31.05</w:t>
            </w:r>
          </w:p>
        </w:tc>
        <w:tc>
          <w:tcPr>
            <w:tcW w:w="383"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57.95</w:t>
            </w:r>
          </w:p>
        </w:tc>
        <w:tc>
          <w:tcPr>
            <w:tcW w:w="384"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78.44</w:t>
            </w:r>
          </w:p>
        </w:tc>
        <w:tc>
          <w:tcPr>
            <w:tcW w:w="384"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72.41</w:t>
            </w:r>
          </w:p>
        </w:tc>
        <w:tc>
          <w:tcPr>
            <w:tcW w:w="444"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75.53</w:t>
            </w:r>
          </w:p>
        </w:tc>
        <w:tc>
          <w:tcPr>
            <w:tcW w:w="682"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27.59</w:t>
            </w:r>
          </w:p>
        </w:tc>
        <w:tc>
          <w:tcPr>
            <w:tcW w:w="496"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1.25</w:t>
            </w:r>
          </w:p>
        </w:tc>
      </w:tr>
      <w:tr>
        <w:trPr>
          <w:trHeight w:val="340"/>
        </w:trPr>
        <w:tc>
          <w:tcPr>
            <w:tcW w:w="384" w:type="pct"/>
            <w:vMerge/>
            <w:tcBorders>
              <w:top w:val="nil"/>
              <w:bottom w:val="nil"/>
            </w:tcBorders>
            <w:vAlign w:val="center"/>
          </w:tcPr>
          <w:p>
            <w:pPr>
              <w:spacing w:after="0" w:line="480" w:lineRule="auto"/>
              <w:jc w:val="center"/>
              <w:rPr>
                <w:rFonts w:ascii="Times New Roman" w:eastAsia="Times New Roman" w:hAnsi="Times New Roman" w:cs="Times New Roman"/>
                <w:color w:val="000000"/>
                <w:sz w:val="24"/>
                <w:szCs w:val="24"/>
              </w:rPr>
            </w:pPr>
          </w:p>
        </w:tc>
        <w:tc>
          <w:tcPr>
            <w:tcW w:w="384" w:type="pct"/>
            <w:tcBorders>
              <w:top w:val="nil"/>
              <w:bottom w:val="nil"/>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240</w:t>
            </w:r>
          </w:p>
        </w:tc>
        <w:tc>
          <w:tcPr>
            <w:tcW w:w="473"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32.3</w:t>
            </w:r>
          </w:p>
        </w:tc>
        <w:tc>
          <w:tcPr>
            <w:tcW w:w="272"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0.33</w:t>
            </w:r>
          </w:p>
        </w:tc>
        <w:tc>
          <w:tcPr>
            <w:tcW w:w="330"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1.15</w:t>
            </w:r>
          </w:p>
        </w:tc>
        <w:tc>
          <w:tcPr>
            <w:tcW w:w="384" w:type="pct"/>
            <w:tcBorders>
              <w:top w:val="nil"/>
              <w:bottom w:val="nil"/>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34.73</w:t>
            </w:r>
          </w:p>
        </w:tc>
        <w:tc>
          <w:tcPr>
            <w:tcW w:w="383"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54.27</w:t>
            </w:r>
          </w:p>
        </w:tc>
        <w:tc>
          <w:tcPr>
            <w:tcW w:w="384"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80.21</w:t>
            </w:r>
          </w:p>
        </w:tc>
        <w:tc>
          <w:tcPr>
            <w:tcW w:w="384"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73.10</w:t>
            </w:r>
          </w:p>
        </w:tc>
        <w:tc>
          <w:tcPr>
            <w:tcW w:w="444"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74.30</w:t>
            </w:r>
          </w:p>
        </w:tc>
        <w:tc>
          <w:tcPr>
            <w:tcW w:w="682"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26.90</w:t>
            </w:r>
          </w:p>
        </w:tc>
        <w:tc>
          <w:tcPr>
            <w:tcW w:w="496" w:type="pct"/>
            <w:tcBorders>
              <w:top w:val="nil"/>
              <w:bottom w:val="nil"/>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1.35</w:t>
            </w:r>
          </w:p>
        </w:tc>
      </w:tr>
      <w:tr>
        <w:trPr>
          <w:trHeight w:val="340"/>
        </w:trPr>
        <w:tc>
          <w:tcPr>
            <w:tcW w:w="384" w:type="pct"/>
            <w:vMerge/>
            <w:tcBorders>
              <w:top w:val="nil"/>
              <w:bottom w:val="single" w:sz="4" w:space="0" w:color="auto"/>
            </w:tcBorders>
            <w:vAlign w:val="center"/>
          </w:tcPr>
          <w:p>
            <w:pPr>
              <w:spacing w:after="0" w:line="480" w:lineRule="auto"/>
              <w:jc w:val="center"/>
              <w:rPr>
                <w:rFonts w:ascii="Times New Roman" w:eastAsia="Times New Roman" w:hAnsi="Times New Roman" w:cs="Times New Roman"/>
                <w:color w:val="000000"/>
                <w:sz w:val="24"/>
                <w:szCs w:val="24"/>
              </w:rPr>
            </w:pPr>
          </w:p>
        </w:tc>
        <w:tc>
          <w:tcPr>
            <w:tcW w:w="384" w:type="pct"/>
            <w:tcBorders>
              <w:top w:val="nil"/>
              <w:bottom w:val="single" w:sz="4" w:space="0" w:color="auto"/>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260</w:t>
            </w:r>
          </w:p>
        </w:tc>
        <w:tc>
          <w:tcPr>
            <w:tcW w:w="473"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40.1</w:t>
            </w:r>
          </w:p>
        </w:tc>
        <w:tc>
          <w:tcPr>
            <w:tcW w:w="272"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0.22</w:t>
            </w:r>
          </w:p>
        </w:tc>
        <w:tc>
          <w:tcPr>
            <w:tcW w:w="330"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1.00</w:t>
            </w:r>
          </w:p>
        </w:tc>
        <w:tc>
          <w:tcPr>
            <w:tcW w:w="384" w:type="pct"/>
            <w:tcBorders>
              <w:top w:val="nil"/>
              <w:bottom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43.67</w:t>
            </w:r>
          </w:p>
        </w:tc>
        <w:tc>
          <w:tcPr>
            <w:tcW w:w="383" w:type="pct"/>
            <w:tcBorders>
              <w:top w:val="nil"/>
              <w:bottom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45.33</w:t>
            </w:r>
          </w:p>
        </w:tc>
        <w:tc>
          <w:tcPr>
            <w:tcW w:w="384" w:type="pct"/>
            <w:tcBorders>
              <w:top w:val="nil"/>
              <w:bottom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75.67</w:t>
            </w:r>
          </w:p>
        </w:tc>
        <w:tc>
          <w:tcPr>
            <w:tcW w:w="384" w:type="pct"/>
            <w:tcBorders>
              <w:top w:val="nil"/>
              <w:bottom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67.49</w:t>
            </w:r>
          </w:p>
        </w:tc>
        <w:tc>
          <w:tcPr>
            <w:tcW w:w="444" w:type="pct"/>
            <w:tcBorders>
              <w:top w:val="nil"/>
              <w:bottom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67.45</w:t>
            </w:r>
          </w:p>
        </w:tc>
        <w:tc>
          <w:tcPr>
            <w:tcW w:w="682" w:type="pct"/>
            <w:tcBorders>
              <w:top w:val="nil"/>
              <w:bottom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32.51</w:t>
            </w:r>
          </w:p>
        </w:tc>
        <w:tc>
          <w:tcPr>
            <w:tcW w:w="496" w:type="pct"/>
            <w:tcBorders>
              <w:top w:val="nil"/>
              <w:bottom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1.49</w:t>
            </w:r>
          </w:p>
        </w:tc>
      </w:tr>
      <w:tr>
        <w:trPr>
          <w:trHeight w:val="340"/>
        </w:trPr>
        <w:tc>
          <w:tcPr>
            <w:tcW w:w="384" w:type="pct"/>
            <w:vMerge w:val="restart"/>
            <w:tcBorders>
              <w:top w:val="single" w:sz="4" w:space="0" w:color="auto"/>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384" w:type="pct"/>
            <w:tcBorders>
              <w:top w:val="single" w:sz="4" w:space="0" w:color="auto"/>
            </w:tcBorders>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473"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24.3</w:t>
            </w:r>
          </w:p>
        </w:tc>
        <w:tc>
          <w:tcPr>
            <w:tcW w:w="272"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0.44</w:t>
            </w:r>
          </w:p>
        </w:tc>
        <w:tc>
          <w:tcPr>
            <w:tcW w:w="330"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1.28</w:t>
            </w:r>
          </w:p>
        </w:tc>
        <w:tc>
          <w:tcPr>
            <w:tcW w:w="384" w:type="pct"/>
            <w:tcBorders>
              <w:top w:val="single" w:sz="4" w:space="0" w:color="auto"/>
            </w:tcBorders>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29.80</w:t>
            </w:r>
          </w:p>
        </w:tc>
        <w:tc>
          <w:tcPr>
            <w:tcW w:w="383" w:type="pct"/>
            <w:tcBorders>
              <w:top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59.20</w:t>
            </w:r>
          </w:p>
        </w:tc>
        <w:tc>
          <w:tcPr>
            <w:tcW w:w="384" w:type="pct"/>
            <w:tcBorders>
              <w:top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78.18</w:t>
            </w:r>
          </w:p>
        </w:tc>
        <w:tc>
          <w:tcPr>
            <w:tcW w:w="384" w:type="pct"/>
            <w:tcBorders>
              <w:top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73.19</w:t>
            </w:r>
          </w:p>
        </w:tc>
        <w:tc>
          <w:tcPr>
            <w:tcW w:w="444" w:type="pct"/>
            <w:tcBorders>
              <w:top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73.91</w:t>
            </w:r>
          </w:p>
        </w:tc>
        <w:tc>
          <w:tcPr>
            <w:tcW w:w="682" w:type="pct"/>
            <w:tcBorders>
              <w:top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26.81</w:t>
            </w:r>
          </w:p>
        </w:tc>
        <w:tc>
          <w:tcPr>
            <w:tcW w:w="496" w:type="pct"/>
            <w:tcBorders>
              <w:top w:val="single" w:sz="4" w:space="0" w:color="auto"/>
            </w:tcBorders>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1.24</w:t>
            </w:r>
          </w:p>
        </w:tc>
      </w:tr>
      <w:tr>
        <w:trPr>
          <w:trHeight w:val="340"/>
        </w:trPr>
        <w:tc>
          <w:tcPr>
            <w:tcW w:w="384" w:type="pct"/>
            <w:vMerge/>
            <w:vAlign w:val="center"/>
          </w:tcPr>
          <w:p>
            <w:pPr>
              <w:spacing w:after="0" w:line="480" w:lineRule="auto"/>
              <w:jc w:val="center"/>
              <w:rPr>
                <w:rFonts w:ascii="Times New Roman" w:eastAsia="Times New Roman" w:hAnsi="Times New Roman" w:cs="Times New Roman"/>
                <w:color w:val="000000"/>
                <w:sz w:val="24"/>
                <w:szCs w:val="24"/>
              </w:rPr>
            </w:pPr>
          </w:p>
        </w:tc>
        <w:tc>
          <w:tcPr>
            <w:tcW w:w="384" w:type="pct"/>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w:t>
            </w:r>
          </w:p>
        </w:tc>
        <w:tc>
          <w:tcPr>
            <w:tcW w:w="473"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27.8</w:t>
            </w:r>
          </w:p>
        </w:tc>
        <w:tc>
          <w:tcPr>
            <w:tcW w:w="272"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0.40</w:t>
            </w:r>
          </w:p>
        </w:tc>
        <w:tc>
          <w:tcPr>
            <w:tcW w:w="33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1.27</w:t>
            </w:r>
          </w:p>
        </w:tc>
        <w:tc>
          <w:tcPr>
            <w:tcW w:w="384"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32.98</w:t>
            </w:r>
          </w:p>
        </w:tc>
        <w:tc>
          <w:tcPr>
            <w:tcW w:w="383"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55.02</w:t>
            </w:r>
          </w:p>
        </w:tc>
        <w:tc>
          <w:tcPr>
            <w:tcW w:w="384"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76.22</w:t>
            </w:r>
          </w:p>
        </w:tc>
        <w:tc>
          <w:tcPr>
            <w:tcW w:w="384"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69.85</w:t>
            </w:r>
          </w:p>
        </w:tc>
        <w:tc>
          <w:tcPr>
            <w:tcW w:w="444"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73.40</w:t>
            </w:r>
          </w:p>
        </w:tc>
        <w:tc>
          <w:tcPr>
            <w:tcW w:w="682"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30.15</w:t>
            </w:r>
          </w:p>
        </w:tc>
        <w:tc>
          <w:tcPr>
            <w:tcW w:w="496"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1.27</w:t>
            </w:r>
          </w:p>
        </w:tc>
      </w:tr>
      <w:tr>
        <w:trPr>
          <w:trHeight w:val="340"/>
        </w:trPr>
        <w:tc>
          <w:tcPr>
            <w:tcW w:w="384" w:type="pct"/>
            <w:vMerge/>
            <w:vAlign w:val="center"/>
          </w:tcPr>
          <w:p>
            <w:pPr>
              <w:spacing w:after="0" w:line="480" w:lineRule="auto"/>
              <w:jc w:val="center"/>
              <w:rPr>
                <w:rFonts w:ascii="Times New Roman" w:eastAsia="Times New Roman" w:hAnsi="Times New Roman" w:cs="Times New Roman"/>
                <w:color w:val="000000"/>
                <w:sz w:val="24"/>
                <w:szCs w:val="24"/>
              </w:rPr>
            </w:pPr>
          </w:p>
        </w:tc>
        <w:tc>
          <w:tcPr>
            <w:tcW w:w="384" w:type="pct"/>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240</w:t>
            </w:r>
          </w:p>
        </w:tc>
        <w:tc>
          <w:tcPr>
            <w:tcW w:w="473"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33.9</w:t>
            </w:r>
          </w:p>
        </w:tc>
        <w:tc>
          <w:tcPr>
            <w:tcW w:w="272"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0.30</w:t>
            </w:r>
          </w:p>
        </w:tc>
        <w:tc>
          <w:tcPr>
            <w:tcW w:w="33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1.11</w:t>
            </w:r>
          </w:p>
        </w:tc>
        <w:tc>
          <w:tcPr>
            <w:tcW w:w="384"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36.11</w:t>
            </w:r>
          </w:p>
        </w:tc>
        <w:tc>
          <w:tcPr>
            <w:tcW w:w="383"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51.89</w:t>
            </w:r>
          </w:p>
        </w:tc>
        <w:tc>
          <w:tcPr>
            <w:tcW w:w="384"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78.52</w:t>
            </w:r>
          </w:p>
        </w:tc>
        <w:tc>
          <w:tcPr>
            <w:tcW w:w="384"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71.32</w:t>
            </w:r>
          </w:p>
        </w:tc>
        <w:tc>
          <w:tcPr>
            <w:tcW w:w="444"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71.74</w:t>
            </w:r>
          </w:p>
        </w:tc>
        <w:tc>
          <w:tcPr>
            <w:tcW w:w="682"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28.68</w:t>
            </w:r>
          </w:p>
        </w:tc>
        <w:tc>
          <w:tcPr>
            <w:tcW w:w="496"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1.37</w:t>
            </w:r>
          </w:p>
        </w:tc>
      </w:tr>
      <w:tr>
        <w:trPr>
          <w:trHeight w:val="340"/>
        </w:trPr>
        <w:tc>
          <w:tcPr>
            <w:tcW w:w="384" w:type="pct"/>
            <w:vMerge/>
            <w:vAlign w:val="center"/>
          </w:tcPr>
          <w:p>
            <w:pPr>
              <w:spacing w:after="0" w:line="480" w:lineRule="auto"/>
              <w:jc w:val="center"/>
              <w:rPr>
                <w:rFonts w:ascii="Times New Roman" w:eastAsia="Times New Roman" w:hAnsi="Times New Roman" w:cs="Times New Roman"/>
                <w:color w:val="000000"/>
                <w:sz w:val="24"/>
                <w:szCs w:val="24"/>
              </w:rPr>
            </w:pPr>
          </w:p>
        </w:tc>
        <w:tc>
          <w:tcPr>
            <w:tcW w:w="384" w:type="pct"/>
            <w:vAlign w:val="center"/>
          </w:tcPr>
          <w:p>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260</w:t>
            </w:r>
          </w:p>
        </w:tc>
        <w:tc>
          <w:tcPr>
            <w:tcW w:w="473"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41.4</w:t>
            </w:r>
          </w:p>
        </w:tc>
        <w:tc>
          <w:tcPr>
            <w:tcW w:w="272"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0.19</w:t>
            </w:r>
          </w:p>
        </w:tc>
        <w:tc>
          <w:tcPr>
            <w:tcW w:w="330"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0.96</w:t>
            </w:r>
          </w:p>
        </w:tc>
        <w:tc>
          <w:tcPr>
            <w:tcW w:w="384" w:type="pct"/>
            <w:noWrap/>
            <w:vAlign w:val="center"/>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45.51</w:t>
            </w:r>
          </w:p>
        </w:tc>
        <w:tc>
          <w:tcPr>
            <w:tcW w:w="383"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43.49</w:t>
            </w:r>
          </w:p>
        </w:tc>
        <w:tc>
          <w:tcPr>
            <w:tcW w:w="384"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74.17</w:t>
            </w:r>
          </w:p>
        </w:tc>
        <w:tc>
          <w:tcPr>
            <w:tcW w:w="384"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65.81</w:t>
            </w:r>
          </w:p>
        </w:tc>
        <w:tc>
          <w:tcPr>
            <w:tcW w:w="444"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64.47</w:t>
            </w:r>
          </w:p>
        </w:tc>
        <w:tc>
          <w:tcPr>
            <w:tcW w:w="682"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34.19</w:t>
            </w:r>
          </w:p>
        </w:tc>
        <w:tc>
          <w:tcPr>
            <w:tcW w:w="496" w:type="pct"/>
            <w:noWrap/>
            <w:vAlign w:val="bottom"/>
            <w:hideMark/>
          </w:tcPr>
          <w:p>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1.51</w:t>
            </w:r>
          </w:p>
        </w:tc>
      </w:tr>
    </w:tbl>
    <w:p>
      <w:pPr>
        <w:pStyle w:val="Caption"/>
        <w:spacing w:after="0" w:line="480" w:lineRule="auto"/>
        <w:rPr>
          <w:szCs w:val="24"/>
        </w:rPr>
        <w:sectPr>
          <w:pgSz w:w="16838" w:h="11906" w:orient="landscape"/>
          <w:pgMar w:top="1418" w:right="1418" w:bottom="1418" w:left="1418" w:header="709" w:footer="709" w:gutter="0"/>
          <w:lnNumType w:countBy="1" w:restart="continuous"/>
          <w:cols w:space="708"/>
          <w:docGrid w:linePitch="360"/>
        </w:sectPr>
      </w:pPr>
    </w:p>
    <w:p>
      <w:pPr>
        <w:spacing w:after="0" w:line="480" w:lineRule="auto"/>
        <w:jc w:val="both"/>
        <w:rPr>
          <w:rFonts w:ascii="Times New Roman" w:hAnsi="Times New Roman" w:cs="Times New Roman"/>
          <w:sz w:val="24"/>
          <w:szCs w:val="24"/>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0"/>
        <w:gridCol w:w="4536"/>
      </w:tblGrid>
      <w:tr>
        <w:tc>
          <w:tcPr>
            <w:tcW w:w="4531" w:type="dxa"/>
          </w:tcPr>
          <w:p>
            <w:pPr>
              <w:spacing w:line="48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(a)</w:t>
            </w:r>
          </w:p>
        </w:tc>
        <w:tc>
          <w:tcPr>
            <w:tcW w:w="4536" w:type="dxa"/>
          </w:tcPr>
          <w:p>
            <w:pPr>
              <w:spacing w:line="480"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(b)</w:t>
            </w:r>
          </w:p>
        </w:tc>
      </w:tr>
      <w:tr>
        <w:tc>
          <w:tcPr>
            <w:tcW w:w="4531" w:type="dxa"/>
          </w:tcPr>
          <w:p>
            <w:pPr>
              <w:spacing w:line="480" w:lineRule="auto"/>
              <w:jc w:val="both"/>
              <w:rPr>
                <w:rFonts w:ascii="Times New Roman" w:hAnsi="Times New Roman" w:cs="Times New Roman"/>
                <w:sz w:val="24"/>
                <w:szCs w:val="24"/>
                <w:lang w:val="en-US"/>
              </w:rPr>
            </w:pPr>
            <w:r>
              <w:rPr>
                <w:noProof/>
              </w:rPr>
              <w:drawing>
                <wp:inline distT="0" distB="0" distL="0" distR="0">
                  <wp:extent cx="2701645" cy="2323943"/>
                  <wp:effectExtent l="0" t="0" r="3810" b="635"/>
                  <wp:docPr id="8" name="Picture 8" descr="A graph with numbers and a bar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graph with numbers and a bar chart&#10;&#10;AI-generated content may be incorrect."/>
                          <pic:cNvPicPr/>
                        </pic:nvPicPr>
                        <pic:blipFill>
                          <a:blip r:embed="rId13"/>
                          <a:stretch>
                            <a:fillRect/>
                          </a:stretch>
                        </pic:blipFill>
                        <pic:spPr>
                          <a:xfrm>
                            <a:off x="0" y="0"/>
                            <a:ext cx="2701645" cy="2323943"/>
                          </a:xfrm>
                          <a:prstGeom prst="rect">
                            <a:avLst/>
                          </a:prstGeom>
                        </pic:spPr>
                      </pic:pic>
                    </a:graphicData>
                  </a:graphic>
                </wp:inline>
              </w:drawing>
            </w:r>
          </w:p>
        </w:tc>
        <w:tc>
          <w:tcPr>
            <w:tcW w:w="4536" w:type="dxa"/>
          </w:tcPr>
          <w:p>
            <w:pPr>
              <w:spacing w:line="480" w:lineRule="auto"/>
              <w:jc w:val="both"/>
              <w:rPr>
                <w:rFonts w:ascii="Times New Roman" w:hAnsi="Times New Roman" w:cs="Times New Roman"/>
                <w:sz w:val="24"/>
                <w:szCs w:val="24"/>
                <w:lang w:val="en-US"/>
              </w:rPr>
            </w:pPr>
            <w:r>
              <w:rPr>
                <w:noProof/>
              </w:rPr>
              <w:drawing>
                <wp:inline distT="0" distB="0" distL="0" distR="0">
                  <wp:extent cx="2737377" cy="2340591"/>
                  <wp:effectExtent l="0" t="0" r="6350" b="3175"/>
                  <wp:docPr id="9" name="Picture 9"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graph with numbers and lines&#10;&#10;AI-generated content may be incorrect."/>
                          <pic:cNvPicPr/>
                        </pic:nvPicPr>
                        <pic:blipFill>
                          <a:blip r:embed="rId14"/>
                          <a:stretch>
                            <a:fillRect/>
                          </a:stretch>
                        </pic:blipFill>
                        <pic:spPr>
                          <a:xfrm>
                            <a:off x="0" y="0"/>
                            <a:ext cx="2748128" cy="2349783"/>
                          </a:xfrm>
                          <a:prstGeom prst="rect">
                            <a:avLst/>
                          </a:prstGeom>
                        </pic:spPr>
                      </pic:pic>
                    </a:graphicData>
                  </a:graphic>
                </wp:inline>
              </w:drawing>
            </w:r>
          </w:p>
        </w:tc>
      </w:tr>
    </w:tbl>
    <w:p>
      <w:pPr>
        <w:spacing w:after="0" w:line="480"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Fig. S3.</w:t>
      </w:r>
      <w:r>
        <w:rPr>
          <w:rFonts w:ascii="Times New Roman" w:hAnsi="Times New Roman" w:cs="Times New Roman"/>
          <w:sz w:val="24"/>
          <w:szCs w:val="24"/>
          <w:lang w:val="en-US"/>
        </w:rPr>
        <w:t xml:space="preserve"> Carbon content of </w:t>
      </w:r>
      <w:proofErr w:type="spellStart"/>
      <w:r>
        <w:rPr>
          <w:rFonts w:ascii="Times New Roman" w:hAnsi="Times New Roman" w:cs="Times New Roman"/>
          <w:sz w:val="24"/>
          <w:szCs w:val="24"/>
          <w:lang w:val="en-US"/>
        </w:rPr>
        <w:t>oxytree</w:t>
      </w:r>
      <w:proofErr w:type="spellEnd"/>
      <w:r>
        <w:rPr>
          <w:rFonts w:ascii="Times New Roman" w:hAnsi="Times New Roman" w:cs="Times New Roman"/>
          <w:sz w:val="24"/>
          <w:szCs w:val="24"/>
          <w:lang w:val="en-US"/>
        </w:rPr>
        <w:t xml:space="preserve"> biomass after DT and WT at various temperatures, with residence times of (a) </w:t>
      </w:r>
      <w:r>
        <w:rPr>
          <w:rFonts w:ascii="Times New Roman" w:eastAsia="Times New Roman" w:hAnsi="Times New Roman" w:cs="Times New Roman"/>
          <w:color w:val="000000"/>
          <w:sz w:val="24"/>
          <w:szCs w:val="24"/>
        </w:rPr>
        <w:t xml:space="preserve">‒ </w:t>
      </w:r>
      <w:r>
        <w:rPr>
          <w:rFonts w:ascii="Times New Roman" w:hAnsi="Times New Roman" w:cs="Times New Roman"/>
          <w:sz w:val="24"/>
          <w:szCs w:val="24"/>
          <w:lang w:val="en-US"/>
        </w:rPr>
        <w:t xml:space="preserve">30 min and (b) </w:t>
      </w:r>
      <w:r>
        <w:rPr>
          <w:rFonts w:ascii="Times New Roman" w:eastAsia="Times New Roman" w:hAnsi="Times New Roman" w:cs="Times New Roman"/>
          <w:color w:val="000000"/>
          <w:sz w:val="24"/>
          <w:szCs w:val="24"/>
        </w:rPr>
        <w:t xml:space="preserve">‒ </w:t>
      </w:r>
      <w:r>
        <w:rPr>
          <w:rFonts w:ascii="Times New Roman" w:hAnsi="Times New Roman" w:cs="Times New Roman"/>
          <w:sz w:val="24"/>
          <w:szCs w:val="24"/>
          <w:lang w:val="en-US"/>
        </w:rPr>
        <w:t>60 min.</w:t>
      </w:r>
    </w:p>
    <w:p>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513"/>
        <w:gridCol w:w="4513"/>
      </w:tblGrid>
      <w:tr>
        <w:trPr>
          <w:cantSplit/>
        </w:trPr>
        <w:tc>
          <w:tcPr>
            <w:tcW w:w="4531" w:type="dxa"/>
          </w:tcPr>
          <w:p>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(a)</w:t>
            </w:r>
          </w:p>
        </w:tc>
        <w:tc>
          <w:tcPr>
            <w:tcW w:w="4531" w:type="dxa"/>
          </w:tcPr>
          <w:p>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(b)</w:t>
            </w:r>
          </w:p>
        </w:tc>
      </w:tr>
      <w:tr>
        <w:tc>
          <w:tcPr>
            <w:tcW w:w="4531" w:type="dxa"/>
          </w:tcPr>
          <w:p>
            <w:pPr>
              <w:spacing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843530" cy="2412863"/>
                  <wp:effectExtent l="0" t="0" r="1270" b="635"/>
                  <wp:docPr id="1561334628" name="Picture 1" descr="A graph with numbers and a bar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334628" name="Picture 1" descr="A graph with numbers and a bar chart&#10;&#10;AI-generated content may be incorrect."/>
                          <pic:cNvPicPr/>
                        </pic:nvPicPr>
                        <pic:blipFill>
                          <a:blip r:embed="rId15"/>
                          <a:stretch>
                            <a:fillRect/>
                          </a:stretch>
                        </pic:blipFill>
                        <pic:spPr>
                          <a:xfrm>
                            <a:off x="0" y="0"/>
                            <a:ext cx="2856923" cy="2424227"/>
                          </a:xfrm>
                          <a:prstGeom prst="rect">
                            <a:avLst/>
                          </a:prstGeom>
                        </pic:spPr>
                      </pic:pic>
                    </a:graphicData>
                  </a:graphic>
                </wp:inline>
              </w:drawing>
            </w:r>
          </w:p>
        </w:tc>
        <w:tc>
          <w:tcPr>
            <w:tcW w:w="4531" w:type="dxa"/>
          </w:tcPr>
          <w:p>
            <w:pPr>
              <w:spacing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843530" cy="2412863"/>
                  <wp:effectExtent l="0" t="0" r="1270" b="635"/>
                  <wp:docPr id="676748003" name="Picture 1" descr="A graph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748003" name="Picture 1" descr="A graph of different colored bars&#10;&#10;AI-generated content may be incorrect."/>
                          <pic:cNvPicPr/>
                        </pic:nvPicPr>
                        <pic:blipFill>
                          <a:blip r:embed="rId16"/>
                          <a:stretch>
                            <a:fillRect/>
                          </a:stretch>
                        </pic:blipFill>
                        <pic:spPr>
                          <a:xfrm>
                            <a:off x="0" y="0"/>
                            <a:ext cx="2856727" cy="2424061"/>
                          </a:xfrm>
                          <a:prstGeom prst="rect">
                            <a:avLst/>
                          </a:prstGeom>
                        </pic:spPr>
                      </pic:pic>
                    </a:graphicData>
                  </a:graphic>
                </wp:inline>
              </w:drawing>
            </w:r>
          </w:p>
        </w:tc>
      </w:tr>
    </w:tbl>
    <w:p>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Fig. S4.</w:t>
      </w:r>
      <w:r>
        <w:rPr>
          <w:rFonts w:ascii="Times New Roman" w:hAnsi="Times New Roman" w:cs="Times New Roman"/>
          <w:sz w:val="24"/>
          <w:szCs w:val="24"/>
        </w:rPr>
        <w:t xml:space="preserve"> Effect of torrefaction temperature and residence time, 30 min (a), 60 min (b), on the degree of torrefaction of </w:t>
      </w:r>
      <w:proofErr w:type="spellStart"/>
      <w:r>
        <w:rPr>
          <w:rFonts w:ascii="Times New Roman" w:hAnsi="Times New Roman" w:cs="Times New Roman"/>
          <w:sz w:val="24"/>
          <w:szCs w:val="24"/>
        </w:rPr>
        <w:t>oxytree</w:t>
      </w:r>
      <w:proofErr w:type="spellEnd"/>
      <w:r>
        <w:rPr>
          <w:rFonts w:ascii="Times New Roman" w:hAnsi="Times New Roman" w:cs="Times New Roman"/>
          <w:sz w:val="24"/>
          <w:szCs w:val="24"/>
        </w:rPr>
        <w:t xml:space="preserve"> biomass under DT and WT conditions.</w:t>
      </w:r>
    </w:p>
    <w:p>
      <w:r>
        <w:br w:type="page"/>
      </w:r>
    </w:p>
    <w:p>
      <w:pPr>
        <w:spacing w:after="0" w:line="480" w:lineRule="auto"/>
        <w:jc w:val="both"/>
        <w:rPr>
          <w:rFonts w:ascii="Times New Roman" w:hAnsi="Times New Roman" w:cs="Times New Roman"/>
          <w:bCs/>
          <w:sz w:val="24"/>
          <w:szCs w:val="24"/>
        </w:rPr>
      </w:pPr>
      <w:bookmarkStart w:id="4" w:name="OLE_LINK9"/>
      <w:r>
        <w:rPr>
          <w:rFonts w:ascii="Times New Roman" w:hAnsi="Times New Roman" w:cs="Times New Roman"/>
          <w:b/>
          <w:sz w:val="24"/>
          <w:szCs w:val="24"/>
        </w:rPr>
        <w:lastRenderedPageBreak/>
        <w:t xml:space="preserve">Table S5. </w:t>
      </w:r>
      <w:r>
        <w:rPr>
          <w:rFonts w:ascii="Times New Roman" w:hAnsi="Times New Roman" w:cs="Times New Roman"/>
          <w:bCs/>
          <w:sz w:val="24"/>
          <w:szCs w:val="24"/>
        </w:rPr>
        <w:t>DSC calorimeter data for DT and WT samples.</w:t>
      </w:r>
    </w:p>
    <w:tbl>
      <w:tblPr>
        <w:tblW w:w="4994" w:type="pct"/>
        <w:tblInd w:w="5" w:type="dxa"/>
        <w:tblCellMar>
          <w:left w:w="70" w:type="dxa"/>
          <w:right w:w="70" w:type="dxa"/>
        </w:tblCellMar>
        <w:tblLook w:val="04A0" w:firstRow="1" w:lastRow="0" w:firstColumn="1" w:lastColumn="0" w:noHBand="0" w:noVBand="1"/>
      </w:tblPr>
      <w:tblGrid>
        <w:gridCol w:w="2468"/>
        <w:gridCol w:w="1473"/>
        <w:gridCol w:w="1313"/>
        <w:gridCol w:w="1089"/>
        <w:gridCol w:w="1372"/>
        <w:gridCol w:w="1300"/>
      </w:tblGrid>
      <w:tr>
        <w:trPr>
          <w:trHeight w:val="285"/>
        </w:trPr>
        <w:tc>
          <w:tcPr>
            <w:tcW w:w="1369" w:type="pct"/>
            <w:tcBorders>
              <w:top w:val="single" w:sz="4" w:space="0" w:color="auto"/>
            </w:tcBorders>
            <w:noWrap/>
            <w:vAlign w:val="center"/>
          </w:tcPr>
          <w:p>
            <w:pPr>
              <w:pStyle w:val="NoSpacing"/>
              <w:spacing w:line="480" w:lineRule="auto"/>
              <w:jc w:val="center"/>
              <w:rPr>
                <w:rFonts w:ascii="Times New Roman" w:hAnsi="Times New Roman" w:cs="Times New Roman"/>
                <w:b/>
                <w:bCs/>
                <w:sz w:val="24"/>
                <w:szCs w:val="24"/>
                <w:lang w:val="pl-PL"/>
              </w:rPr>
            </w:pPr>
            <w:r>
              <w:rPr>
                <w:rFonts w:ascii="Times New Roman" w:hAnsi="Times New Roman" w:cs="Times New Roman"/>
                <w:b/>
                <w:bCs/>
                <w:sz w:val="24"/>
                <w:szCs w:val="24"/>
                <w:lang w:val="pl-PL"/>
              </w:rPr>
              <w:t>Torrefaction method</w:t>
            </w:r>
          </w:p>
        </w:tc>
        <w:tc>
          <w:tcPr>
            <w:tcW w:w="817" w:type="pct"/>
            <w:tcBorders>
              <w:top w:val="single" w:sz="4" w:space="0" w:color="auto"/>
            </w:tcBorders>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b/>
                <w:bCs/>
                <w:sz w:val="24"/>
                <w:szCs w:val="24"/>
              </w:rPr>
              <w:t>Reaction Temp.</w:t>
            </w:r>
            <w:r>
              <w:rPr>
                <w:rFonts w:ascii="Times New Roman" w:hAnsi="Times New Roman" w:cs="Times New Roman"/>
                <w:sz w:val="24"/>
                <w:szCs w:val="24"/>
              </w:rPr>
              <w:t xml:space="preserve"> </w:t>
            </w:r>
            <w:r>
              <w:rPr>
                <w:rFonts w:ascii="Times New Roman" w:hAnsi="Times New Roman" w:cs="Times New Roman"/>
                <w:b/>
                <w:bCs/>
                <w:sz w:val="24"/>
                <w:szCs w:val="24"/>
                <w:lang w:val="pl-PL"/>
              </w:rPr>
              <w:t>[</w:t>
            </w:r>
            <w:r>
              <w:rPr>
                <w:rFonts w:ascii="Times New Roman" w:hAnsi="Times New Roman" w:cs="Times New Roman"/>
                <w:b/>
                <w:bCs/>
                <w:sz w:val="24"/>
                <w:szCs w:val="24"/>
              </w:rPr>
              <w:t>°C]</w:t>
            </w:r>
            <w:r>
              <w:rPr>
                <w:rFonts w:ascii="Times New Roman" w:hAnsi="Times New Roman" w:cs="Times New Roman"/>
                <w:sz w:val="24"/>
                <w:szCs w:val="24"/>
              </w:rPr>
              <w:t xml:space="preserve"> </w:t>
            </w:r>
          </w:p>
        </w:tc>
        <w:tc>
          <w:tcPr>
            <w:tcW w:w="728" w:type="pct"/>
            <w:tcBorders>
              <w:top w:val="single" w:sz="4" w:space="0" w:color="auto"/>
            </w:tcBorders>
            <w:vAlign w:val="center"/>
          </w:tcPr>
          <w:p>
            <w:pPr>
              <w:pStyle w:val="NoSpacing"/>
              <w:spacing w:line="480" w:lineRule="auto"/>
              <w:jc w:val="center"/>
              <w:rPr>
                <w:rFonts w:ascii="Times New Roman" w:hAnsi="Times New Roman" w:cs="Times New Roman"/>
                <w:b/>
                <w:bCs/>
                <w:sz w:val="24"/>
                <w:szCs w:val="24"/>
                <w:lang w:val="pl-PL"/>
              </w:rPr>
            </w:pPr>
            <w:r>
              <w:rPr>
                <w:rFonts w:ascii="Times New Roman" w:hAnsi="Times New Roman" w:cs="Times New Roman"/>
                <w:b/>
                <w:bCs/>
                <w:sz w:val="24"/>
                <w:szCs w:val="24"/>
                <w:lang w:val="pl-PL"/>
              </w:rPr>
              <w:t>Reaction time [min]</w:t>
            </w:r>
          </w:p>
        </w:tc>
        <w:tc>
          <w:tcPr>
            <w:tcW w:w="604" w:type="pct"/>
            <w:tcBorders>
              <w:top w:val="single" w:sz="4" w:space="0" w:color="auto"/>
            </w:tcBorders>
            <w:vAlign w:val="center"/>
          </w:tcPr>
          <w:p>
            <w:pPr>
              <w:pStyle w:val="NoSpacing"/>
              <w:spacing w:line="480" w:lineRule="auto"/>
              <w:jc w:val="center"/>
              <w:rPr>
                <w:rFonts w:ascii="Times New Roman" w:hAnsi="Times New Roman" w:cs="Times New Roman"/>
                <w:sz w:val="24"/>
                <w:szCs w:val="24"/>
                <w:lang w:val="pl-PL"/>
              </w:rPr>
            </w:pPr>
            <w:proofErr w:type="spellStart"/>
            <w:r>
              <w:rPr>
                <w:rFonts w:ascii="Times New Roman" w:hAnsi="Times New Roman" w:cs="Times New Roman"/>
                <w:b/>
                <w:bCs/>
                <w:sz w:val="24"/>
                <w:szCs w:val="24"/>
              </w:rPr>
              <w:t>T</w:t>
            </w:r>
            <w:r>
              <w:rPr>
                <w:rFonts w:ascii="Times New Roman" w:hAnsi="Times New Roman" w:cs="Times New Roman"/>
                <w:b/>
                <w:bCs/>
                <w:sz w:val="24"/>
                <w:szCs w:val="24"/>
                <w:vertAlign w:val="subscript"/>
              </w:rPr>
              <w:t>onset</w:t>
            </w:r>
            <w:proofErr w:type="spellEnd"/>
            <w:r>
              <w:rPr>
                <w:rFonts w:ascii="Times New Roman" w:hAnsi="Times New Roman" w:cs="Times New Roman"/>
                <w:b/>
                <w:bCs/>
                <w:sz w:val="24"/>
                <w:szCs w:val="24"/>
              </w:rPr>
              <w:t xml:space="preserve"> [°C]</w:t>
            </w:r>
          </w:p>
        </w:tc>
        <w:tc>
          <w:tcPr>
            <w:tcW w:w="761" w:type="pct"/>
            <w:tcBorders>
              <w:top w:val="single" w:sz="4" w:space="0" w:color="auto"/>
            </w:tcBorders>
            <w:noWrap/>
            <w:vAlign w:val="center"/>
          </w:tcPr>
          <w:p>
            <w:pPr>
              <w:pStyle w:val="NoSpacing"/>
              <w:spacing w:line="480" w:lineRule="auto"/>
              <w:jc w:val="center"/>
              <w:rPr>
                <w:rFonts w:ascii="Times New Roman" w:hAnsi="Times New Roman" w:cs="Times New Roman"/>
                <w:b/>
                <w:bCs/>
                <w:sz w:val="24"/>
                <w:szCs w:val="24"/>
                <w:lang w:val="pl-PL"/>
              </w:rPr>
            </w:pPr>
            <w:r>
              <w:rPr>
                <w:rFonts w:ascii="Times New Roman" w:hAnsi="Times New Roman" w:cs="Times New Roman"/>
                <w:b/>
                <w:bCs/>
                <w:sz w:val="24"/>
                <w:szCs w:val="24"/>
                <w:lang w:val="pl-PL"/>
              </w:rPr>
              <w:t>T</w:t>
            </w:r>
            <w:r>
              <w:rPr>
                <w:rFonts w:ascii="Times New Roman" w:hAnsi="Times New Roman" w:cs="Times New Roman"/>
                <w:b/>
                <w:bCs/>
                <w:sz w:val="24"/>
                <w:szCs w:val="24"/>
                <w:vertAlign w:val="subscript"/>
                <w:lang w:val="pl-PL"/>
              </w:rPr>
              <w:t>avg</w:t>
            </w:r>
            <w:r>
              <w:rPr>
                <w:rFonts w:ascii="Times New Roman" w:hAnsi="Times New Roman" w:cs="Times New Roman"/>
                <w:b/>
                <w:bCs/>
                <w:sz w:val="24"/>
                <w:szCs w:val="24"/>
                <w:lang w:val="pl-PL"/>
              </w:rPr>
              <w:t xml:space="preserve"> </w:t>
            </w:r>
          </w:p>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b/>
                <w:bCs/>
                <w:sz w:val="24"/>
                <w:szCs w:val="24"/>
                <w:lang w:val="pl-PL"/>
              </w:rPr>
              <w:t>[°C]</w:t>
            </w:r>
          </w:p>
        </w:tc>
        <w:tc>
          <w:tcPr>
            <w:tcW w:w="721" w:type="pct"/>
            <w:tcBorders>
              <w:top w:val="single" w:sz="4" w:space="0" w:color="auto"/>
            </w:tcBorders>
            <w:noWrap/>
            <w:vAlign w:val="center"/>
          </w:tcPr>
          <w:p>
            <w:pPr>
              <w:pStyle w:val="NoSpacing"/>
              <w:spacing w:line="480" w:lineRule="auto"/>
              <w:jc w:val="center"/>
              <w:rPr>
                <w:rFonts w:ascii="Times New Roman" w:hAnsi="Times New Roman" w:cs="Times New Roman"/>
                <w:b/>
                <w:bCs/>
                <w:sz w:val="24"/>
                <w:szCs w:val="24"/>
                <w:lang w:val="pl-PL"/>
              </w:rPr>
            </w:pPr>
            <w:r>
              <w:rPr>
                <w:rFonts w:ascii="Times New Roman" w:hAnsi="Times New Roman" w:cs="Times New Roman"/>
                <w:b/>
                <w:bCs/>
                <w:sz w:val="24"/>
                <w:szCs w:val="24"/>
                <w:lang w:val="pl-PL"/>
              </w:rPr>
              <w:t>E</w:t>
            </w:r>
            <w:r>
              <w:rPr>
                <w:rFonts w:ascii="Times New Roman" w:hAnsi="Times New Roman" w:cs="Times New Roman"/>
                <w:b/>
                <w:bCs/>
                <w:sz w:val="24"/>
                <w:szCs w:val="24"/>
                <w:vertAlign w:val="subscript"/>
                <w:lang w:val="pl-PL"/>
              </w:rPr>
              <w:t>a</w:t>
            </w:r>
            <w:r>
              <w:rPr>
                <w:rFonts w:ascii="Times New Roman" w:hAnsi="Times New Roman" w:cs="Times New Roman"/>
                <w:b/>
                <w:bCs/>
                <w:sz w:val="24"/>
                <w:szCs w:val="24"/>
                <w:lang w:val="pl-PL"/>
              </w:rPr>
              <w:t xml:space="preserve"> </w:t>
            </w:r>
          </w:p>
          <w:p>
            <w:pPr>
              <w:pStyle w:val="NoSpacing"/>
              <w:spacing w:line="480" w:lineRule="auto"/>
              <w:jc w:val="center"/>
              <w:rPr>
                <w:rFonts w:ascii="Times New Roman" w:hAnsi="Times New Roman" w:cs="Times New Roman"/>
                <w:b/>
                <w:bCs/>
                <w:sz w:val="24"/>
                <w:szCs w:val="24"/>
                <w:lang w:val="pl-PL"/>
              </w:rPr>
            </w:pPr>
            <w:r>
              <w:rPr>
                <w:rFonts w:ascii="Times New Roman" w:hAnsi="Times New Roman" w:cs="Times New Roman"/>
                <w:b/>
                <w:bCs/>
                <w:sz w:val="24"/>
                <w:szCs w:val="24"/>
                <w:lang w:val="pl-PL"/>
              </w:rPr>
              <w:t>[kJ/mol]</w:t>
            </w:r>
          </w:p>
        </w:tc>
      </w:tr>
      <w:tr>
        <w:trPr>
          <w:trHeight w:val="285"/>
        </w:trPr>
        <w:tc>
          <w:tcPr>
            <w:tcW w:w="1369" w:type="pct"/>
            <w:vMerge w:val="restart"/>
            <w:tcBorders>
              <w:top w:val="single" w:sz="4" w:space="0" w:color="auto"/>
            </w:tcBorders>
            <w:noWrap/>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DT</w:t>
            </w:r>
          </w:p>
        </w:tc>
        <w:tc>
          <w:tcPr>
            <w:tcW w:w="817" w:type="pct"/>
            <w:tcBorders>
              <w:top w:val="single" w:sz="4" w:space="0" w:color="auto"/>
            </w:tcBorders>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200</w:t>
            </w:r>
          </w:p>
        </w:tc>
        <w:tc>
          <w:tcPr>
            <w:tcW w:w="728" w:type="pct"/>
            <w:tcBorders>
              <w:top w:val="single" w:sz="4" w:space="0" w:color="auto"/>
            </w:tcBorders>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604" w:type="pct"/>
            <w:tcBorders>
              <w:top w:val="single" w:sz="4" w:space="0" w:color="auto"/>
            </w:tcBorders>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297.3</w:t>
            </w:r>
          </w:p>
        </w:tc>
        <w:tc>
          <w:tcPr>
            <w:tcW w:w="761" w:type="pct"/>
            <w:tcBorders>
              <w:top w:val="single" w:sz="4" w:space="0" w:color="auto"/>
            </w:tcBorders>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309.4</w:t>
            </w:r>
          </w:p>
        </w:tc>
        <w:tc>
          <w:tcPr>
            <w:tcW w:w="721" w:type="pct"/>
            <w:tcBorders>
              <w:top w:val="single" w:sz="4" w:space="0" w:color="auto"/>
            </w:tcBorders>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52.1</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200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299.4</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311.3</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52.9</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220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298.5</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306.8</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50.2</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220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298.7</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306.2</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48.9</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240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298.3</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308.3</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43.9</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240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289.6</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309.0</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46.8</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260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290.8</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302.2</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44.8</w:t>
            </w:r>
          </w:p>
        </w:tc>
      </w:tr>
      <w:tr>
        <w:trPr>
          <w:trHeight w:val="285"/>
        </w:trPr>
        <w:tc>
          <w:tcPr>
            <w:tcW w:w="1369" w:type="pct"/>
            <w:vMerge/>
            <w:tcBorders>
              <w:bottom w:val="single" w:sz="4" w:space="0" w:color="auto"/>
            </w:tcBorders>
            <w:noWrap/>
            <w:vAlign w:val="center"/>
          </w:tcPr>
          <w:p>
            <w:pPr>
              <w:pStyle w:val="NoSpacing"/>
              <w:spacing w:line="480" w:lineRule="auto"/>
              <w:jc w:val="center"/>
              <w:rPr>
                <w:rFonts w:ascii="Times New Roman" w:hAnsi="Times New Roman" w:cs="Times New Roman"/>
                <w:sz w:val="24"/>
                <w:szCs w:val="24"/>
                <w:lang w:val="pl-PL"/>
              </w:rPr>
            </w:pPr>
          </w:p>
        </w:tc>
        <w:tc>
          <w:tcPr>
            <w:tcW w:w="817" w:type="pct"/>
            <w:tcBorders>
              <w:bottom w:val="single" w:sz="4" w:space="0" w:color="auto"/>
            </w:tcBorders>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260</w:t>
            </w:r>
          </w:p>
        </w:tc>
        <w:tc>
          <w:tcPr>
            <w:tcW w:w="728" w:type="pct"/>
            <w:tcBorders>
              <w:bottom w:val="single" w:sz="4" w:space="0" w:color="auto"/>
            </w:tcBorders>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604" w:type="pct"/>
            <w:tcBorders>
              <w:bottom w:val="single" w:sz="4" w:space="0" w:color="auto"/>
            </w:tcBorders>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287.5</w:t>
            </w:r>
          </w:p>
        </w:tc>
        <w:tc>
          <w:tcPr>
            <w:tcW w:w="761" w:type="pct"/>
            <w:tcBorders>
              <w:bottom w:val="single" w:sz="4" w:space="0" w:color="auto"/>
            </w:tcBorders>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299.1</w:t>
            </w:r>
          </w:p>
        </w:tc>
        <w:tc>
          <w:tcPr>
            <w:tcW w:w="721" w:type="pct"/>
            <w:tcBorders>
              <w:bottom w:val="single" w:sz="4" w:space="0" w:color="auto"/>
            </w:tcBorders>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43.6</w:t>
            </w:r>
          </w:p>
        </w:tc>
      </w:tr>
      <w:tr>
        <w:trPr>
          <w:trHeight w:val="285"/>
        </w:trPr>
        <w:tc>
          <w:tcPr>
            <w:tcW w:w="1369" w:type="pct"/>
            <w:vMerge w:val="restart"/>
            <w:tcBorders>
              <w:top w:val="single" w:sz="4" w:space="0" w:color="auto"/>
            </w:tcBorders>
            <w:noWrap/>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WT</w:t>
            </w:r>
          </w:p>
        </w:tc>
        <w:tc>
          <w:tcPr>
            <w:tcW w:w="817" w:type="pct"/>
            <w:tcBorders>
              <w:top w:val="single" w:sz="4" w:space="0" w:color="auto"/>
            </w:tcBorders>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200</w:t>
            </w:r>
          </w:p>
        </w:tc>
        <w:tc>
          <w:tcPr>
            <w:tcW w:w="728" w:type="pct"/>
            <w:tcBorders>
              <w:top w:val="single" w:sz="4" w:space="0" w:color="auto"/>
            </w:tcBorders>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604" w:type="pct"/>
            <w:tcBorders>
              <w:top w:val="single" w:sz="4" w:space="0" w:color="auto"/>
            </w:tcBorders>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302.5</w:t>
            </w:r>
          </w:p>
        </w:tc>
        <w:tc>
          <w:tcPr>
            <w:tcW w:w="761" w:type="pct"/>
            <w:tcBorders>
              <w:top w:val="single" w:sz="4" w:space="0" w:color="auto"/>
            </w:tcBorders>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315.3</w:t>
            </w:r>
          </w:p>
        </w:tc>
        <w:tc>
          <w:tcPr>
            <w:tcW w:w="721" w:type="pct"/>
            <w:tcBorders>
              <w:top w:val="single" w:sz="4" w:space="0" w:color="auto"/>
            </w:tcBorders>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45.0</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200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297.5</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305.3</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45.1</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220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303.1</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317.4</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43.3</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220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297.8</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309.3</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45.3</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240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298.6</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311.2</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42.1</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240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300.1</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309.0</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39.5</w:t>
            </w:r>
          </w:p>
        </w:tc>
      </w:tr>
      <w:tr>
        <w:trPr>
          <w:trHeight w:val="285"/>
        </w:trPr>
        <w:tc>
          <w:tcPr>
            <w:tcW w:w="1369" w:type="pct"/>
            <w:vMerge/>
            <w:noWrap/>
            <w:vAlign w:val="center"/>
          </w:tcPr>
          <w:p>
            <w:pPr>
              <w:pStyle w:val="NoSpacing"/>
              <w:spacing w:line="480" w:lineRule="auto"/>
              <w:jc w:val="center"/>
              <w:rPr>
                <w:rFonts w:ascii="Times New Roman" w:hAnsi="Times New Roman" w:cs="Times New Roman"/>
                <w:sz w:val="24"/>
                <w:szCs w:val="24"/>
                <w:lang w:val="pl-PL"/>
              </w:rPr>
            </w:pPr>
          </w:p>
        </w:tc>
        <w:tc>
          <w:tcPr>
            <w:tcW w:w="817"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260</w:t>
            </w:r>
          </w:p>
        </w:tc>
        <w:tc>
          <w:tcPr>
            <w:tcW w:w="728" w:type="pct"/>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604" w:type="pct"/>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287.2</w:t>
            </w:r>
          </w:p>
        </w:tc>
        <w:tc>
          <w:tcPr>
            <w:tcW w:w="76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301.5</w:t>
            </w:r>
          </w:p>
        </w:tc>
        <w:tc>
          <w:tcPr>
            <w:tcW w:w="721" w:type="pct"/>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41.2</w:t>
            </w:r>
          </w:p>
        </w:tc>
      </w:tr>
      <w:tr>
        <w:trPr>
          <w:trHeight w:val="47"/>
        </w:trPr>
        <w:tc>
          <w:tcPr>
            <w:tcW w:w="1369" w:type="pct"/>
            <w:vMerge/>
            <w:tcBorders>
              <w:bottom w:val="single" w:sz="4" w:space="0" w:color="auto"/>
            </w:tcBorders>
            <w:noWrap/>
            <w:vAlign w:val="center"/>
          </w:tcPr>
          <w:p>
            <w:pPr>
              <w:pStyle w:val="NoSpacing"/>
              <w:spacing w:line="480" w:lineRule="auto"/>
              <w:jc w:val="center"/>
              <w:rPr>
                <w:rFonts w:ascii="Times New Roman" w:hAnsi="Times New Roman" w:cs="Times New Roman"/>
                <w:sz w:val="24"/>
                <w:szCs w:val="24"/>
                <w:lang w:val="pl-PL"/>
              </w:rPr>
            </w:pPr>
          </w:p>
        </w:tc>
        <w:tc>
          <w:tcPr>
            <w:tcW w:w="817" w:type="pct"/>
            <w:tcBorders>
              <w:bottom w:val="single" w:sz="4" w:space="0" w:color="auto"/>
            </w:tcBorders>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260</w:t>
            </w:r>
          </w:p>
        </w:tc>
        <w:tc>
          <w:tcPr>
            <w:tcW w:w="728" w:type="pct"/>
            <w:tcBorders>
              <w:bottom w:val="single" w:sz="4" w:space="0" w:color="auto"/>
            </w:tcBorders>
            <w:vAlign w:val="center"/>
          </w:tcPr>
          <w:p>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604" w:type="pct"/>
            <w:tcBorders>
              <w:bottom w:val="single" w:sz="4" w:space="0" w:color="auto"/>
            </w:tcBorders>
            <w:vAlign w:val="center"/>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272.1</w:t>
            </w:r>
          </w:p>
        </w:tc>
        <w:tc>
          <w:tcPr>
            <w:tcW w:w="761" w:type="pct"/>
            <w:tcBorders>
              <w:bottom w:val="single" w:sz="4" w:space="0" w:color="auto"/>
            </w:tcBorders>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283.4</w:t>
            </w:r>
          </w:p>
        </w:tc>
        <w:tc>
          <w:tcPr>
            <w:tcW w:w="721" w:type="pct"/>
            <w:tcBorders>
              <w:bottom w:val="single" w:sz="4" w:space="0" w:color="auto"/>
            </w:tcBorders>
            <w:noWrap/>
            <w:vAlign w:val="center"/>
            <w:hideMark/>
          </w:tcPr>
          <w:p>
            <w:pPr>
              <w:pStyle w:val="NoSpacing"/>
              <w:spacing w:line="480" w:lineRule="auto"/>
              <w:jc w:val="center"/>
              <w:rPr>
                <w:rFonts w:ascii="Times New Roman" w:hAnsi="Times New Roman" w:cs="Times New Roman"/>
                <w:sz w:val="24"/>
                <w:szCs w:val="24"/>
                <w:lang w:val="pl-PL"/>
              </w:rPr>
            </w:pPr>
            <w:r>
              <w:rPr>
                <w:rFonts w:ascii="Times New Roman" w:hAnsi="Times New Roman" w:cs="Times New Roman"/>
                <w:sz w:val="24"/>
                <w:szCs w:val="24"/>
                <w:lang w:val="pl-PL"/>
              </w:rPr>
              <w:t>41.7</w:t>
            </w:r>
          </w:p>
        </w:tc>
      </w:tr>
      <w:bookmarkEnd w:id="4"/>
    </w:tbl>
    <w:p>
      <w:pPr>
        <w:spacing w:after="0" w:line="480" w:lineRule="auto"/>
        <w:jc w:val="both"/>
        <w:rPr>
          <w:rFonts w:ascii="Times New Roman" w:hAnsi="Times New Roman" w:cs="Times New Roman"/>
          <w:sz w:val="24"/>
          <w:szCs w:val="24"/>
        </w:rPr>
      </w:pPr>
    </w:p>
    <w:p>
      <w:r>
        <w:br w:type="page"/>
      </w:r>
    </w:p>
    <w:p>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Table S6.</w:t>
      </w:r>
      <w:r>
        <w:rPr>
          <w:rFonts w:ascii="Times New Roman" w:hAnsi="Times New Roman" w:cs="Times New Roman"/>
          <w:sz w:val="24"/>
          <w:szCs w:val="24"/>
        </w:rPr>
        <w:t xml:space="preserve"> WT effect on the HHV values of several types of lignocellulosic biomass.</w:t>
      </w:r>
    </w:p>
    <w:tbl>
      <w:tblPr>
        <w:tblW w:w="8931" w:type="dxa"/>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410"/>
        <w:gridCol w:w="2126"/>
        <w:gridCol w:w="1560"/>
      </w:tblGrid>
      <w:tr>
        <w:trPr>
          <w:trHeight w:val="320"/>
        </w:trPr>
        <w:tc>
          <w:tcPr>
            <w:tcW w:w="2835" w:type="dxa"/>
            <w:tcBorders>
              <w:top w:val="single" w:sz="4" w:space="0" w:color="auto"/>
              <w:bottom w:val="single" w:sz="4" w:space="0" w:color="auto"/>
              <w:right w:val="nil"/>
            </w:tcBorders>
            <w:noWrap/>
            <w:vAlign w:val="center"/>
            <w:hideMark/>
          </w:tcPr>
          <w:p>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Substrate</w:t>
            </w:r>
          </w:p>
        </w:tc>
        <w:tc>
          <w:tcPr>
            <w:tcW w:w="2410" w:type="dxa"/>
            <w:tcBorders>
              <w:top w:val="single" w:sz="4" w:space="0" w:color="auto"/>
              <w:left w:val="nil"/>
              <w:bottom w:val="single" w:sz="4" w:space="0" w:color="auto"/>
              <w:right w:val="nil"/>
            </w:tcBorders>
            <w:noWrap/>
            <w:vAlign w:val="center"/>
            <w:hideMark/>
          </w:tcPr>
          <w:p>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Method</w:t>
            </w:r>
          </w:p>
        </w:tc>
        <w:tc>
          <w:tcPr>
            <w:tcW w:w="2126" w:type="dxa"/>
            <w:tcBorders>
              <w:top w:val="single" w:sz="4" w:space="0" w:color="auto"/>
              <w:left w:val="nil"/>
              <w:bottom w:val="single" w:sz="4" w:space="0" w:color="auto"/>
              <w:right w:val="nil"/>
            </w:tcBorders>
            <w:noWrap/>
            <w:vAlign w:val="center"/>
            <w:hideMark/>
          </w:tcPr>
          <w:p>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HHV (MJ/kg)</w:t>
            </w:r>
          </w:p>
        </w:tc>
        <w:tc>
          <w:tcPr>
            <w:tcW w:w="1560" w:type="dxa"/>
            <w:tcBorders>
              <w:top w:val="single" w:sz="4" w:space="0" w:color="auto"/>
              <w:left w:val="nil"/>
              <w:bottom w:val="single" w:sz="4" w:space="0" w:color="auto"/>
            </w:tcBorders>
            <w:noWrap/>
            <w:vAlign w:val="center"/>
            <w:hideMark/>
          </w:tcPr>
          <w:p>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Ref.</w:t>
            </w:r>
          </w:p>
        </w:tc>
      </w:tr>
      <w:tr>
        <w:trPr>
          <w:trHeight w:val="320"/>
        </w:trPr>
        <w:tc>
          <w:tcPr>
            <w:tcW w:w="2835" w:type="dxa"/>
            <w:vMerge w:val="restart"/>
            <w:tcBorders>
              <w:top w:val="single" w:sz="4" w:space="0" w:color="auto"/>
              <w:bottom w:val="nil"/>
              <w:right w:val="nil"/>
            </w:tcBorders>
            <w:noWrap/>
            <w:vAlign w:val="center"/>
          </w:tcPr>
          <w:p>
            <w:pPr>
              <w:spacing w:after="0"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Oxytree</w:t>
            </w:r>
            <w:proofErr w:type="spellEnd"/>
          </w:p>
        </w:tc>
        <w:tc>
          <w:tcPr>
            <w:tcW w:w="2410" w:type="dxa"/>
            <w:tcBorders>
              <w:top w:val="single" w:sz="4" w:space="0" w:color="auto"/>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DT-200</w:t>
            </w:r>
          </w:p>
        </w:tc>
        <w:tc>
          <w:tcPr>
            <w:tcW w:w="2126" w:type="dxa"/>
            <w:tcBorders>
              <w:top w:val="single" w:sz="4" w:space="0" w:color="auto"/>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17.41</w:t>
            </w:r>
          </w:p>
        </w:tc>
        <w:tc>
          <w:tcPr>
            <w:tcW w:w="1560" w:type="dxa"/>
            <w:vMerge w:val="restart"/>
            <w:tcBorders>
              <w:top w:val="single" w:sz="4" w:space="0" w:color="auto"/>
              <w:left w:val="nil"/>
              <w:bottom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This work</w:t>
            </w:r>
          </w:p>
        </w:tc>
      </w:tr>
      <w:tr>
        <w:trPr>
          <w:trHeight w:val="320"/>
        </w:trPr>
        <w:tc>
          <w:tcPr>
            <w:tcW w:w="2835" w:type="dxa"/>
            <w:vMerge/>
            <w:tcBorders>
              <w:top w:val="nil"/>
              <w:bottom w:val="nil"/>
              <w:right w:val="nil"/>
            </w:tcBorders>
            <w:noWrap/>
            <w:vAlign w:val="center"/>
          </w:tcPr>
          <w:p>
            <w:pPr>
              <w:spacing w:after="0" w:line="360" w:lineRule="auto"/>
              <w:jc w:val="center"/>
              <w:rPr>
                <w:rFonts w:ascii="Times New Roman" w:hAnsi="Times New Roman" w:cs="Times New Roman"/>
                <w:sz w:val="24"/>
                <w:szCs w:val="24"/>
              </w:rPr>
            </w:pPr>
          </w:p>
        </w:tc>
        <w:tc>
          <w:tcPr>
            <w:tcW w:w="2410"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DT-220</w:t>
            </w:r>
          </w:p>
        </w:tc>
        <w:tc>
          <w:tcPr>
            <w:tcW w:w="2126"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18.12</w:t>
            </w:r>
          </w:p>
        </w:tc>
        <w:tc>
          <w:tcPr>
            <w:tcW w:w="1560" w:type="dxa"/>
            <w:vMerge/>
            <w:tcBorders>
              <w:top w:val="nil"/>
              <w:left w:val="nil"/>
              <w:bottom w:val="nil"/>
            </w:tcBorders>
            <w:noWrap/>
            <w:vAlign w:val="center"/>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nil"/>
              <w:right w:val="nil"/>
            </w:tcBorders>
            <w:noWrap/>
            <w:vAlign w:val="center"/>
          </w:tcPr>
          <w:p>
            <w:pPr>
              <w:spacing w:after="0" w:line="360" w:lineRule="auto"/>
              <w:jc w:val="center"/>
              <w:rPr>
                <w:rFonts w:ascii="Times New Roman" w:hAnsi="Times New Roman" w:cs="Times New Roman"/>
                <w:sz w:val="24"/>
                <w:szCs w:val="24"/>
              </w:rPr>
            </w:pPr>
          </w:p>
        </w:tc>
        <w:tc>
          <w:tcPr>
            <w:tcW w:w="2410"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DT-240</w:t>
            </w:r>
          </w:p>
        </w:tc>
        <w:tc>
          <w:tcPr>
            <w:tcW w:w="2126"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18.59</w:t>
            </w:r>
          </w:p>
        </w:tc>
        <w:tc>
          <w:tcPr>
            <w:tcW w:w="1560" w:type="dxa"/>
            <w:vMerge/>
            <w:tcBorders>
              <w:top w:val="nil"/>
              <w:left w:val="nil"/>
              <w:bottom w:val="nil"/>
            </w:tcBorders>
            <w:noWrap/>
            <w:vAlign w:val="center"/>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nil"/>
              <w:right w:val="nil"/>
            </w:tcBorders>
            <w:noWrap/>
            <w:vAlign w:val="center"/>
          </w:tcPr>
          <w:p>
            <w:pPr>
              <w:spacing w:after="0" w:line="360" w:lineRule="auto"/>
              <w:jc w:val="center"/>
              <w:rPr>
                <w:rFonts w:ascii="Times New Roman" w:hAnsi="Times New Roman" w:cs="Times New Roman"/>
                <w:sz w:val="24"/>
                <w:szCs w:val="24"/>
              </w:rPr>
            </w:pPr>
          </w:p>
        </w:tc>
        <w:tc>
          <w:tcPr>
            <w:tcW w:w="2410"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DT-260</w:t>
            </w:r>
          </w:p>
        </w:tc>
        <w:tc>
          <w:tcPr>
            <w:tcW w:w="2126"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20.18</w:t>
            </w:r>
          </w:p>
        </w:tc>
        <w:tc>
          <w:tcPr>
            <w:tcW w:w="1560" w:type="dxa"/>
            <w:vMerge/>
            <w:tcBorders>
              <w:top w:val="nil"/>
              <w:left w:val="nil"/>
              <w:bottom w:val="nil"/>
            </w:tcBorders>
            <w:noWrap/>
            <w:vAlign w:val="center"/>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nil"/>
              <w:right w:val="nil"/>
            </w:tcBorders>
            <w:noWrap/>
            <w:vAlign w:val="center"/>
          </w:tcPr>
          <w:p>
            <w:pPr>
              <w:spacing w:after="0" w:line="360" w:lineRule="auto"/>
              <w:jc w:val="center"/>
              <w:rPr>
                <w:rFonts w:ascii="Times New Roman" w:hAnsi="Times New Roman" w:cs="Times New Roman"/>
                <w:sz w:val="24"/>
                <w:szCs w:val="24"/>
              </w:rPr>
            </w:pPr>
          </w:p>
        </w:tc>
        <w:tc>
          <w:tcPr>
            <w:tcW w:w="2410"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WT-200</w:t>
            </w:r>
          </w:p>
        </w:tc>
        <w:tc>
          <w:tcPr>
            <w:tcW w:w="2126"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rPr>
              <w:t>21.09</w:t>
            </w:r>
          </w:p>
        </w:tc>
        <w:tc>
          <w:tcPr>
            <w:tcW w:w="1560" w:type="dxa"/>
            <w:vMerge/>
            <w:tcBorders>
              <w:top w:val="nil"/>
              <w:left w:val="nil"/>
              <w:bottom w:val="nil"/>
            </w:tcBorders>
            <w:noWrap/>
            <w:vAlign w:val="center"/>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nil"/>
              <w:right w:val="nil"/>
            </w:tcBorders>
            <w:noWrap/>
            <w:vAlign w:val="center"/>
          </w:tcPr>
          <w:p>
            <w:pPr>
              <w:spacing w:after="0" w:line="360" w:lineRule="auto"/>
              <w:jc w:val="center"/>
              <w:rPr>
                <w:rFonts w:ascii="Times New Roman" w:hAnsi="Times New Roman" w:cs="Times New Roman"/>
                <w:sz w:val="24"/>
                <w:szCs w:val="24"/>
              </w:rPr>
            </w:pPr>
          </w:p>
        </w:tc>
        <w:tc>
          <w:tcPr>
            <w:tcW w:w="2410"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WT-220</w:t>
            </w:r>
          </w:p>
        </w:tc>
        <w:tc>
          <w:tcPr>
            <w:tcW w:w="2126"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rPr>
              <w:t>22.13</w:t>
            </w:r>
          </w:p>
        </w:tc>
        <w:tc>
          <w:tcPr>
            <w:tcW w:w="1560" w:type="dxa"/>
            <w:vMerge/>
            <w:tcBorders>
              <w:top w:val="nil"/>
              <w:left w:val="nil"/>
              <w:bottom w:val="nil"/>
            </w:tcBorders>
            <w:noWrap/>
            <w:vAlign w:val="center"/>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nil"/>
              <w:right w:val="nil"/>
            </w:tcBorders>
            <w:noWrap/>
            <w:vAlign w:val="center"/>
          </w:tcPr>
          <w:p>
            <w:pPr>
              <w:spacing w:after="0" w:line="360" w:lineRule="auto"/>
              <w:jc w:val="center"/>
              <w:rPr>
                <w:rFonts w:ascii="Times New Roman" w:hAnsi="Times New Roman" w:cs="Times New Roman"/>
                <w:sz w:val="24"/>
                <w:szCs w:val="24"/>
              </w:rPr>
            </w:pPr>
          </w:p>
        </w:tc>
        <w:tc>
          <w:tcPr>
            <w:tcW w:w="2410"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WT260</w:t>
            </w:r>
          </w:p>
        </w:tc>
        <w:tc>
          <w:tcPr>
            <w:tcW w:w="2126"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rPr>
              <w:t>24.16</w:t>
            </w:r>
          </w:p>
        </w:tc>
        <w:tc>
          <w:tcPr>
            <w:tcW w:w="1560" w:type="dxa"/>
            <w:vMerge/>
            <w:tcBorders>
              <w:top w:val="nil"/>
              <w:left w:val="nil"/>
              <w:bottom w:val="nil"/>
            </w:tcBorders>
            <w:noWrap/>
            <w:vAlign w:val="center"/>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nil"/>
              <w:right w:val="nil"/>
            </w:tcBorders>
            <w:noWrap/>
            <w:vAlign w:val="center"/>
          </w:tcPr>
          <w:p>
            <w:pPr>
              <w:spacing w:after="0" w:line="360" w:lineRule="auto"/>
              <w:jc w:val="center"/>
              <w:rPr>
                <w:rFonts w:ascii="Times New Roman" w:hAnsi="Times New Roman" w:cs="Times New Roman"/>
                <w:sz w:val="24"/>
                <w:szCs w:val="24"/>
              </w:rPr>
            </w:pPr>
          </w:p>
        </w:tc>
        <w:tc>
          <w:tcPr>
            <w:tcW w:w="2410"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WT-260</w:t>
            </w:r>
          </w:p>
        </w:tc>
        <w:tc>
          <w:tcPr>
            <w:tcW w:w="2126" w:type="dxa"/>
            <w:tcBorders>
              <w:top w:val="nil"/>
              <w:left w:val="nil"/>
              <w:bottom w:val="nil"/>
              <w:right w:val="nil"/>
            </w:tcBorders>
            <w:noWrap/>
            <w:vAlign w:val="center"/>
          </w:tcPr>
          <w:p>
            <w:pPr>
              <w:spacing w:after="0" w:line="360" w:lineRule="auto"/>
              <w:jc w:val="center"/>
              <w:rPr>
                <w:rFonts w:ascii="Times New Roman" w:hAnsi="Times New Roman" w:cs="Times New Roman"/>
                <w:sz w:val="24"/>
                <w:szCs w:val="24"/>
              </w:rPr>
            </w:pPr>
            <w:r>
              <w:rPr>
                <w:rFonts w:ascii="Times New Roman" w:hAnsi="Times New Roman" w:cs="Times New Roman"/>
                <w:color w:val="000000"/>
                <w:sz w:val="24"/>
                <w:szCs w:val="24"/>
              </w:rPr>
              <w:t>27.29</w:t>
            </w:r>
          </w:p>
        </w:tc>
        <w:tc>
          <w:tcPr>
            <w:tcW w:w="1560" w:type="dxa"/>
            <w:vMerge/>
            <w:tcBorders>
              <w:top w:val="nil"/>
              <w:left w:val="nil"/>
              <w:bottom w:val="nil"/>
            </w:tcBorders>
            <w:noWrap/>
            <w:vAlign w:val="center"/>
          </w:tcPr>
          <w:p>
            <w:pPr>
              <w:spacing w:after="0" w:line="360" w:lineRule="auto"/>
              <w:jc w:val="center"/>
              <w:rPr>
                <w:rFonts w:ascii="Times New Roman" w:hAnsi="Times New Roman" w:cs="Times New Roman"/>
                <w:sz w:val="24"/>
                <w:szCs w:val="24"/>
              </w:rPr>
            </w:pPr>
          </w:p>
        </w:tc>
      </w:tr>
      <w:tr>
        <w:trPr>
          <w:trHeight w:val="320"/>
        </w:trPr>
        <w:tc>
          <w:tcPr>
            <w:tcW w:w="2835" w:type="dxa"/>
            <w:vMerge w:val="restart"/>
            <w:tcBorders>
              <w:top w:val="single" w:sz="4" w:space="0" w:color="auto"/>
              <w:bottom w:val="nil"/>
              <w:right w:val="nil"/>
            </w:tcBorders>
            <w:noWrap/>
            <w:vAlign w:val="center"/>
            <w:hideMark/>
          </w:tcPr>
          <w:p>
            <w:pPr>
              <w:spacing w:after="0"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Mischantus</w:t>
            </w:r>
            <w:proofErr w:type="spellEnd"/>
          </w:p>
        </w:tc>
        <w:tc>
          <w:tcPr>
            <w:tcW w:w="2410"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WT-160</w:t>
            </w:r>
          </w:p>
        </w:tc>
        <w:tc>
          <w:tcPr>
            <w:tcW w:w="2126"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18.15</w:t>
            </w:r>
          </w:p>
        </w:tc>
        <w:tc>
          <w:tcPr>
            <w:tcW w:w="1560" w:type="dxa"/>
            <w:vMerge w:val="restart"/>
            <w:tcBorders>
              <w:top w:val="single" w:sz="4" w:space="0" w:color="auto"/>
              <w:left w:val="nil"/>
              <w:bottom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{"citationItems":[{"id":"ITEM-1","itemData":{"DOI":"10.3390/en13102669","ISSN":"1996-1073","abstract":"Biomass is a solid fuel that can be used instead of coal to address the issue of greenhouse gases. Currently, biomass is used directly in combustion or via co-combustion in coal-fired power plants. However, its use is limited due to calorific value and ash problems. In this study, wet torrefaction (WT) was carried out at various temperatures (160 °C, 180 °C, and 200 °C) and the properties of the product were evaluated. In comparison to dry torrefaction, the ash contained in biomass was extracted by an acidic solution (i.e., acetic acid) from the overreaction of the biomass. From examining the ash content of the treated WT, it was confirmed that K2O of basic ash was mainly extracted. In particular, in the case of K2O, since the main cause of combustion problems are issues such as fouling and slagging, the removed WT can be stably combusted in the boiler. Finally, the combustion and emission behaviors were evaluated by TGA-DTG and TGA-FTIR. As the fuel-N was decreased in the WT proess, the NOx in the emission gas after combustion was lower than that of raw miscanthus, and SO2 showed a similar value. As a result, it was confirmed that the WT sample is an advanced fuel in terms of fuel upgrading, alkali minerals, and NOx emission compared to raw miscanthus.","author":[{"dropping-particle":"","family":"Park","given":"Jae-Hyun","non-dropping-particle":"","parse-names":false,"suffix":""},{"dropping-particle":"","family":"Choi","given":"Young-Chan","non-dropping-particle":"","parse-names":false,"suffix":""},{"dropping-particle":"","family":"Lee","given":"Young-Joo","non-dropping-particle":"","parse-names":false,"suffix":""},{"dropping-particle":"","family":"Kim","given":"Hyung-Taek","non-dropping-particle":"","parse-names":false,"suffix":""}],"container-title":"Energies","id":"ITEM-1","issue":"10","issued":{"date-parts":[["2020","5"]]},"page":"2669","title":"Characteristics of Miscanthus Fuel by Wet Torrefaction on Fuel Upgrading and Gas Emission Behavior","type":"article-journal","volume":"13"},"uris":["http://www.mendeley.com/documents/?uuid=c6f92e91-6395-416d-a93c-681a56ffd47b","http://www.mendeley.com/documents/?uuid=c718dc70-7860-4662-bb43-45d55c79ca2f"]}],"mendeley":{"formattedCitation":"[1]","plainTextFormattedCitation":"[1]","previouslyFormattedCitation":"[1]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[1]</w:t>
            </w:r>
            <w:r>
              <w:rPr>
                <w:rFonts w:ascii="Times New Roman" w:hAnsi="Times New Roman" w:cs="Times New Roman"/>
                <w:sz w:val="24"/>
                <w:szCs w:val="24"/>
              </w:rPr>
              <w:fldChar w:fldCharType="end"/>
            </w:r>
          </w:p>
        </w:tc>
      </w:tr>
      <w:tr>
        <w:trPr>
          <w:trHeight w:val="320"/>
        </w:trPr>
        <w:tc>
          <w:tcPr>
            <w:tcW w:w="2835" w:type="dxa"/>
            <w:vMerge/>
            <w:tcBorders>
              <w:top w:val="nil"/>
              <w:bottom w:val="nil"/>
              <w:right w:val="nil"/>
            </w:tcBorders>
            <w:vAlign w:val="center"/>
            <w:hideMark/>
          </w:tcPr>
          <w:p>
            <w:pPr>
              <w:spacing w:after="0" w:line="360" w:lineRule="auto"/>
              <w:jc w:val="center"/>
              <w:rPr>
                <w:rFonts w:ascii="Times New Roman" w:hAnsi="Times New Roman" w:cs="Times New Roman"/>
                <w:sz w:val="24"/>
                <w:szCs w:val="24"/>
              </w:rPr>
            </w:pPr>
          </w:p>
        </w:tc>
        <w:tc>
          <w:tcPr>
            <w:tcW w:w="2410" w:type="dxa"/>
            <w:tcBorders>
              <w:top w:val="nil"/>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WT-180</w:t>
            </w:r>
          </w:p>
        </w:tc>
        <w:tc>
          <w:tcPr>
            <w:tcW w:w="2126" w:type="dxa"/>
            <w:tcBorders>
              <w:top w:val="nil"/>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18.78</w:t>
            </w:r>
          </w:p>
        </w:tc>
        <w:tc>
          <w:tcPr>
            <w:tcW w:w="1560" w:type="dxa"/>
            <w:vMerge/>
            <w:tcBorders>
              <w:top w:val="nil"/>
              <w:left w:val="nil"/>
              <w:bottom w:val="nil"/>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single" w:sz="4" w:space="0" w:color="auto"/>
              <w:right w:val="nil"/>
            </w:tcBorders>
            <w:vAlign w:val="center"/>
            <w:hideMark/>
          </w:tcPr>
          <w:p>
            <w:pPr>
              <w:spacing w:after="0" w:line="360" w:lineRule="auto"/>
              <w:jc w:val="center"/>
              <w:rPr>
                <w:rFonts w:ascii="Times New Roman" w:hAnsi="Times New Roman" w:cs="Times New Roman"/>
                <w:sz w:val="24"/>
                <w:szCs w:val="24"/>
              </w:rPr>
            </w:pPr>
          </w:p>
        </w:tc>
        <w:tc>
          <w:tcPr>
            <w:tcW w:w="2410"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WT-200</w:t>
            </w:r>
          </w:p>
        </w:tc>
        <w:tc>
          <w:tcPr>
            <w:tcW w:w="2126"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19.28</w:t>
            </w:r>
          </w:p>
        </w:tc>
        <w:tc>
          <w:tcPr>
            <w:tcW w:w="1560" w:type="dxa"/>
            <w:vMerge/>
            <w:tcBorders>
              <w:top w:val="nil"/>
              <w:left w:val="nil"/>
              <w:bottom w:val="single" w:sz="4" w:space="0" w:color="auto"/>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val="restart"/>
            <w:tcBorders>
              <w:top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Norway Spruce</w:t>
            </w:r>
          </w:p>
        </w:tc>
        <w:tc>
          <w:tcPr>
            <w:tcW w:w="2410"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DT-275</w:t>
            </w:r>
          </w:p>
        </w:tc>
        <w:tc>
          <w:tcPr>
            <w:tcW w:w="2126"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22.10</w:t>
            </w:r>
          </w:p>
        </w:tc>
        <w:tc>
          <w:tcPr>
            <w:tcW w:w="1560" w:type="dxa"/>
            <w:vMerge w:val="restart"/>
            <w:tcBorders>
              <w:top w:val="single" w:sz="4" w:space="0" w:color="auto"/>
              <w:left w:val="nil"/>
              <w:bottom w:val="nil"/>
            </w:tcBorders>
            <w:noWrap/>
            <w:vAlign w:val="center"/>
            <w:hideMark/>
          </w:tcPr>
          <w:p>
            <w:pPr>
              <w:spacing w:after="0" w:line="360" w:lineRule="auto"/>
              <w:jc w:val="center"/>
              <w:rPr>
                <w:rFonts w:ascii="Times New Roman" w:hAnsi="Times New Roman" w:cs="Times New Roman"/>
                <w:sz w:val="24"/>
                <w:szCs w:val="24"/>
                <w:u w:val="single"/>
              </w:rPr>
            </w:pPr>
            <w:r>
              <w:rPr>
                <w:rFonts w:ascii="Times New Roman" w:hAnsi="Times New Roman" w:cs="Times New Roman"/>
                <w:sz w:val="24"/>
                <w:szCs w:val="24"/>
                <w:u w:val="single"/>
              </w:rPr>
              <w:fldChar w:fldCharType="begin" w:fldLock="1"/>
            </w:r>
            <w:r>
              <w:rPr>
                <w:rFonts w:ascii="Times New Roman" w:hAnsi="Times New Roman" w:cs="Times New Roman"/>
                <w:sz w:val="24"/>
                <w:szCs w:val="24"/>
                <w:u w:val="single"/>
              </w:rPr>
              <w:instrText>ADDIN CSL_CITATION {"citationItems":[{"id":"ITEM-1","itemData":{"DOI":"10.1016/j.rser.2015.10.014","ISSN":"18790690","abstract":"Biomass pretreatment is an essential step prior to several thermochemical conversion processes. Wet torrefaction, a biomass pretreatment method in hydrothermal media or hot compressed water at temperatures within 180-260 °C, has been receiving a lot of attention because it possesses some advantages over other pretreatment methods. Apart from the undoubted benefits of upgrading biomass fuels to closer to coal properties, wet torrefaction has the capacity to work with wet or even extremely wet biomasses and enhance the ash removal from the biomass. The technology has recently attracted great interest from both academic groups and industrial companies. This review aims at providing a comprehensive overview of recent research and development activities in the field with focus on improvements in the chemical, physical and fuel properties of the solid product after wet torrefaction. Moreover, a brief introduction to dry torrefaction, a more conventional thermal pretreatment of biomass in the absence of oxygen under atmospheric pressure and in a temperature range of 200-300 °C, is also given and compared with wet torrefaction. Main differences in the properties of the solid products from the two torrefaction methods are also discussed.","author":[{"dropping-particle":"","family":"Bach","given":"Quang Vu","non-dropping-particle":"","parse-names":false,"suffix":""},{"dropping-particle":"","family":"Skreiberg","given":"Oyvind","non-dropping-particle":"","parse-names":false,"suffix":""}],"container-title":"Renewable and Sustainable Energy Reviews","id":"ITEM-1","issued":{"date-parts":[["2016"]]},"page":"665-677","publisher":"Elsevier","title":"Upgrading biomass fuels via wet torrefaction: A review and comparison with dry torrefaction","type":"article-journal","volume":"54"},"uris":["http://www.mendeley.com/documents/?uuid=363cdd0b-4b97-41a5-8946-88282ddd4ac1"]}],"mendeley":{"formattedCitation":"[2]","plainTextFormattedCitation":"[2]","previouslyFormattedCitation":"[2]"},"properties":{"noteIndex":0},"schema":"https://github.com/citation-style-language/schema/raw/master/csl-citation.json"}</w:instrText>
            </w:r>
            <w:r>
              <w:rPr>
                <w:rFonts w:ascii="Times New Roman" w:hAnsi="Times New Roman" w:cs="Times New Roman"/>
                <w:sz w:val="24"/>
                <w:szCs w:val="24"/>
                <w:u w:val="single"/>
              </w:rPr>
              <w:fldChar w:fldCharType="separate"/>
            </w:r>
            <w:r>
              <w:rPr>
                <w:rFonts w:ascii="Times New Roman" w:hAnsi="Times New Roman" w:cs="Times New Roman"/>
                <w:noProof/>
                <w:sz w:val="24"/>
                <w:szCs w:val="24"/>
              </w:rPr>
              <w:t>[2]</w:t>
            </w:r>
            <w:r>
              <w:rPr>
                <w:rFonts w:ascii="Times New Roman" w:hAnsi="Times New Roman" w:cs="Times New Roman"/>
                <w:sz w:val="24"/>
                <w:szCs w:val="24"/>
              </w:rPr>
              <w:fldChar w:fldCharType="end"/>
            </w:r>
          </w:p>
        </w:tc>
      </w:tr>
      <w:tr>
        <w:trPr>
          <w:trHeight w:val="320"/>
        </w:trPr>
        <w:tc>
          <w:tcPr>
            <w:tcW w:w="2835" w:type="dxa"/>
            <w:vMerge/>
            <w:tcBorders>
              <w:bottom w:val="single" w:sz="4" w:space="0" w:color="auto"/>
              <w:right w:val="nil"/>
            </w:tcBorders>
            <w:noWrap/>
            <w:vAlign w:val="center"/>
            <w:hideMark/>
          </w:tcPr>
          <w:p>
            <w:pPr>
              <w:spacing w:after="0" w:line="360" w:lineRule="auto"/>
              <w:rPr>
                <w:rFonts w:ascii="Times New Roman" w:hAnsi="Times New Roman" w:cs="Times New Roman"/>
                <w:sz w:val="24"/>
                <w:szCs w:val="24"/>
                <w:u w:val="single"/>
              </w:rPr>
            </w:pPr>
          </w:p>
        </w:tc>
        <w:tc>
          <w:tcPr>
            <w:tcW w:w="2410"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WT-210</w:t>
            </w:r>
          </w:p>
        </w:tc>
        <w:tc>
          <w:tcPr>
            <w:tcW w:w="2126"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22.40</w:t>
            </w:r>
          </w:p>
        </w:tc>
        <w:tc>
          <w:tcPr>
            <w:tcW w:w="1560" w:type="dxa"/>
            <w:vMerge/>
            <w:tcBorders>
              <w:top w:val="nil"/>
              <w:left w:val="nil"/>
              <w:bottom w:val="single" w:sz="4" w:space="0" w:color="auto"/>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val="restart"/>
            <w:tcBorders>
              <w:top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Norway Birch</w:t>
            </w:r>
          </w:p>
        </w:tc>
        <w:tc>
          <w:tcPr>
            <w:tcW w:w="2410"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WT-200</w:t>
            </w:r>
          </w:p>
        </w:tc>
        <w:tc>
          <w:tcPr>
            <w:tcW w:w="2126"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21.20</w:t>
            </w:r>
          </w:p>
        </w:tc>
        <w:tc>
          <w:tcPr>
            <w:tcW w:w="1560" w:type="dxa"/>
            <w:vMerge w:val="restart"/>
            <w:tcBorders>
              <w:top w:val="single" w:sz="4" w:space="0" w:color="auto"/>
              <w:left w:val="nil"/>
              <w:bottom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{"citationItems":[{"id":"ITEM-1","itemData":{"DOI":"10.1021/ef401295w","ISSN":"08870624","abstract":"Wet torrefaction of typical Norwegian biomass fuels was studied within the temperature window of 175-225 °C, using a benchtop autoclave reactor of 250 mL in volume from Parr Instrument. Two types of local biomass fuels were employed as feedstock, Norway spruce (softwood) and birch (hardwood). Effects of process parameters including pressure, reaction temperature, holding time, and feedstock particle size on the yield and properties of the solid products were investigated. It appears that birch wood is more reactive and produces less solid products than spruce wood in the same wet torrefaction conditions. Increasing pressure above the saturated vapor pressure of water enhances the torrefaction rate. Both reaction temperature and holding time have significant effects on solid product yield and fuel properties of wet torrefied biomass. The yield of solid products is slightly reduced with decreasing feedstock particle size. The ash content of biomass fuel is significantly reduced by wet torrefaction. In addition, a comparison between wet and dry torrefaction supported by regression analyses and numerical predictions shows that wet torrefaction can produce solid fuels with greater heating values at much lower temperatures and shorter holding times. © 2013 American Chemical Society.","author":[{"dropping-particle":"","family":"Bach","given":"Quang Vu","non-dropping-particle":"","parse-names":false,"suffix":""},{"dropping-particle":"","family":"Tran","given":"Khanh Quang","non-dropping-particle":"","parse-names":false,"suffix":""},{"dropping-particle":"","family":"Khalil","given":"Roger Antoine","non-dropping-particle":"","parse-names":false,"suffix":""},{"dropping-particle":"","family":"Skreiberg","given":"Øyvind","non-dropping-particle":"","parse-names":false,"suffix":""},{"dropping-particle":"","family":"Seisenbaeva","given":"Gulaim","non-dropping-particle":"","parse-names":false,"suffix":""}],"container-title":"Energy and Fuels","id":"ITEM-1","issue":"11","issued":{"date-parts":[["2013"]]},"page":"6743-6753","title":"Comparative assessment of wet torrefaction","type":"article-journal","volume":"27"},"uris":["http://www.mendeley.com/documents/?uuid=5c4ffce5-270d-4bde-987b-99e9a66b95e5"]}],"mendeley":{"formattedCitation":"[3]","plainTextFormattedCitation":"[3]","previouslyFormattedCitation":"[3]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[3]</w:t>
            </w:r>
            <w:r>
              <w:rPr>
                <w:rFonts w:ascii="Times New Roman" w:hAnsi="Times New Roman" w:cs="Times New Roman"/>
                <w:sz w:val="24"/>
                <w:szCs w:val="24"/>
              </w:rPr>
              <w:fldChar w:fldCharType="end"/>
            </w:r>
          </w:p>
        </w:tc>
      </w:tr>
      <w:tr>
        <w:trPr>
          <w:trHeight w:val="320"/>
        </w:trPr>
        <w:tc>
          <w:tcPr>
            <w:tcW w:w="2835" w:type="dxa"/>
            <w:vMerge/>
            <w:tcBorders>
              <w:bottom w:val="single" w:sz="4" w:space="0" w:color="auto"/>
              <w:right w:val="nil"/>
            </w:tcBorders>
            <w:noWrap/>
            <w:vAlign w:val="center"/>
            <w:hideMark/>
          </w:tcPr>
          <w:p>
            <w:pPr>
              <w:spacing w:after="0" w:line="360" w:lineRule="auto"/>
              <w:rPr>
                <w:rFonts w:ascii="Times New Roman" w:hAnsi="Times New Roman" w:cs="Times New Roman"/>
                <w:sz w:val="24"/>
                <w:szCs w:val="24"/>
              </w:rPr>
            </w:pPr>
          </w:p>
        </w:tc>
        <w:tc>
          <w:tcPr>
            <w:tcW w:w="2410"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WT-225</w:t>
            </w:r>
          </w:p>
        </w:tc>
        <w:tc>
          <w:tcPr>
            <w:tcW w:w="2126"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24.00</w:t>
            </w:r>
          </w:p>
        </w:tc>
        <w:tc>
          <w:tcPr>
            <w:tcW w:w="1560" w:type="dxa"/>
            <w:vMerge/>
            <w:tcBorders>
              <w:top w:val="nil"/>
              <w:left w:val="nil"/>
              <w:bottom w:val="single" w:sz="4" w:space="0" w:color="auto"/>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val="restart"/>
            <w:tcBorders>
              <w:top w:val="single" w:sz="4" w:space="0" w:color="auto"/>
              <w:bottom w:val="nil"/>
              <w:right w:val="nil"/>
            </w:tcBorders>
            <w:shd w:val="clear" w:color="auto" w:fill="FFFFFF" w:themeFill="background1"/>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Tahoe Mix</w:t>
            </w:r>
          </w:p>
        </w:tc>
        <w:tc>
          <w:tcPr>
            <w:tcW w:w="2410"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WT-215</w:t>
            </w:r>
          </w:p>
        </w:tc>
        <w:tc>
          <w:tcPr>
            <w:tcW w:w="2126"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22.58</w:t>
            </w:r>
          </w:p>
        </w:tc>
        <w:tc>
          <w:tcPr>
            <w:tcW w:w="1560" w:type="dxa"/>
            <w:vMerge w:val="restart"/>
            <w:tcBorders>
              <w:top w:val="single" w:sz="4" w:space="0" w:color="auto"/>
              <w:left w:val="nil"/>
              <w:bottom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{"citationItems":[{"id":"ITEM-1","itemData":{"DOI":"10.1021/ef101745n","ISSN":"0887-0624","author":[{"dropping-particle":"","family":"Hoekman","given":"S Kent","non-dropping-particle":"","parse-names":false,"suffix":""},{"dropping-particle":"","family":"Broch","given":"Amber","non-dropping-particle":"","parse-names":false,"suffix":""},{"dropping-particle":"","family":"Robbins","given":"Curtis","non-dropping-particle":"","parse-names":false,"suffix":""}],"container-title":"Energy &amp; Fuels","id":"ITEM-1","issue":"4","issued":{"date-parts":[["2011","4"]]},"page":"1802-1810","title":"Hydrothermal Carbonization (HTC) of Lignocellulosic Biomass","type":"article-journal","volume":"25"},"uris":["http://www.mendeley.com/documents/?uuid=13889ce1-2884-3d6f-973c-793f14ef93b5","http://www.mendeley.com/documents/?uuid=7cd0c72b-0e00-4435-951f-8724ec7650d4"]}],"mendeley":{"formattedCitation":"[4]","plainTextFormattedCitation":"[4]","previouslyFormattedCitation":"[4]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[4]</w:t>
            </w:r>
            <w:r>
              <w:rPr>
                <w:rFonts w:ascii="Times New Roman" w:hAnsi="Times New Roman" w:cs="Times New Roman"/>
                <w:sz w:val="24"/>
                <w:szCs w:val="24"/>
              </w:rPr>
              <w:fldChar w:fldCharType="end"/>
            </w:r>
          </w:p>
        </w:tc>
      </w:tr>
      <w:tr>
        <w:trPr>
          <w:trHeight w:val="320"/>
        </w:trPr>
        <w:tc>
          <w:tcPr>
            <w:tcW w:w="2835" w:type="dxa"/>
            <w:vMerge/>
            <w:tcBorders>
              <w:top w:val="nil"/>
              <w:bottom w:val="nil"/>
              <w:right w:val="nil"/>
            </w:tcBorders>
            <w:shd w:val="clear" w:color="auto" w:fill="FFFFFF" w:themeFill="background1"/>
            <w:noWrap/>
            <w:vAlign w:val="center"/>
            <w:hideMark/>
          </w:tcPr>
          <w:p>
            <w:pPr>
              <w:spacing w:after="0" w:line="360" w:lineRule="auto"/>
              <w:jc w:val="center"/>
              <w:rPr>
                <w:rFonts w:ascii="Times New Roman" w:hAnsi="Times New Roman" w:cs="Times New Roman"/>
                <w:sz w:val="24"/>
                <w:szCs w:val="24"/>
              </w:rPr>
            </w:pPr>
          </w:p>
        </w:tc>
        <w:tc>
          <w:tcPr>
            <w:tcW w:w="2410" w:type="dxa"/>
            <w:tcBorders>
              <w:top w:val="nil"/>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WT-235</w:t>
            </w:r>
          </w:p>
        </w:tc>
        <w:tc>
          <w:tcPr>
            <w:tcW w:w="2126" w:type="dxa"/>
            <w:tcBorders>
              <w:top w:val="nil"/>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24.27</w:t>
            </w:r>
          </w:p>
        </w:tc>
        <w:tc>
          <w:tcPr>
            <w:tcW w:w="1560" w:type="dxa"/>
            <w:vMerge/>
            <w:tcBorders>
              <w:top w:val="nil"/>
              <w:left w:val="nil"/>
              <w:bottom w:val="nil"/>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single" w:sz="4" w:space="0" w:color="auto"/>
              <w:right w:val="nil"/>
            </w:tcBorders>
            <w:shd w:val="clear" w:color="auto" w:fill="FFFFFF" w:themeFill="background1"/>
            <w:noWrap/>
            <w:vAlign w:val="center"/>
            <w:hideMark/>
          </w:tcPr>
          <w:p>
            <w:pPr>
              <w:spacing w:after="0" w:line="360" w:lineRule="auto"/>
              <w:jc w:val="center"/>
              <w:rPr>
                <w:rFonts w:ascii="Times New Roman" w:hAnsi="Times New Roman" w:cs="Times New Roman"/>
                <w:sz w:val="24"/>
                <w:szCs w:val="24"/>
              </w:rPr>
            </w:pPr>
          </w:p>
        </w:tc>
        <w:tc>
          <w:tcPr>
            <w:tcW w:w="2410"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WT-255</w:t>
            </w:r>
          </w:p>
        </w:tc>
        <w:tc>
          <w:tcPr>
            <w:tcW w:w="2126"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28.26</w:t>
            </w:r>
          </w:p>
        </w:tc>
        <w:tc>
          <w:tcPr>
            <w:tcW w:w="1560" w:type="dxa"/>
            <w:vMerge/>
            <w:tcBorders>
              <w:top w:val="nil"/>
              <w:left w:val="nil"/>
              <w:bottom w:val="single" w:sz="4" w:space="0" w:color="auto"/>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val="restart"/>
            <w:tcBorders>
              <w:top w:val="single" w:sz="4" w:space="0" w:color="auto"/>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Sugarcane bagasse</w:t>
            </w:r>
          </w:p>
        </w:tc>
        <w:tc>
          <w:tcPr>
            <w:tcW w:w="2410"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WT-215</w:t>
            </w:r>
          </w:p>
        </w:tc>
        <w:tc>
          <w:tcPr>
            <w:tcW w:w="2126"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19.57</w:t>
            </w:r>
          </w:p>
        </w:tc>
        <w:tc>
          <w:tcPr>
            <w:tcW w:w="1560" w:type="dxa"/>
            <w:vMerge/>
            <w:tcBorders>
              <w:top w:val="single" w:sz="4" w:space="0" w:color="auto"/>
              <w:left w:val="nil"/>
              <w:bottom w:val="nil"/>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nil"/>
              <w:right w:val="nil"/>
            </w:tcBorders>
            <w:noWrap/>
            <w:vAlign w:val="center"/>
            <w:hideMark/>
          </w:tcPr>
          <w:p>
            <w:pPr>
              <w:spacing w:after="0" w:line="360" w:lineRule="auto"/>
              <w:jc w:val="center"/>
              <w:rPr>
                <w:rFonts w:ascii="Times New Roman" w:hAnsi="Times New Roman" w:cs="Times New Roman"/>
                <w:sz w:val="24"/>
                <w:szCs w:val="24"/>
              </w:rPr>
            </w:pPr>
          </w:p>
        </w:tc>
        <w:tc>
          <w:tcPr>
            <w:tcW w:w="2410" w:type="dxa"/>
            <w:tcBorders>
              <w:top w:val="nil"/>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WT-235</w:t>
            </w:r>
          </w:p>
        </w:tc>
        <w:tc>
          <w:tcPr>
            <w:tcW w:w="2126" w:type="dxa"/>
            <w:tcBorders>
              <w:top w:val="nil"/>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20.46</w:t>
            </w:r>
          </w:p>
        </w:tc>
        <w:tc>
          <w:tcPr>
            <w:tcW w:w="1560" w:type="dxa"/>
            <w:vMerge/>
            <w:tcBorders>
              <w:top w:val="nil"/>
              <w:left w:val="nil"/>
              <w:bottom w:val="nil"/>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p>
        </w:tc>
        <w:tc>
          <w:tcPr>
            <w:tcW w:w="2410"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WT-255</w:t>
            </w:r>
          </w:p>
        </w:tc>
        <w:tc>
          <w:tcPr>
            <w:tcW w:w="2126"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23.37</w:t>
            </w:r>
          </w:p>
        </w:tc>
        <w:tc>
          <w:tcPr>
            <w:tcW w:w="1560" w:type="dxa"/>
            <w:vMerge/>
            <w:tcBorders>
              <w:top w:val="nil"/>
              <w:left w:val="nil"/>
              <w:bottom w:val="single" w:sz="4" w:space="0" w:color="auto"/>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val="restart"/>
            <w:tcBorders>
              <w:top w:val="single" w:sz="4" w:space="0" w:color="auto"/>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Rice Hulls</w:t>
            </w:r>
          </w:p>
        </w:tc>
        <w:tc>
          <w:tcPr>
            <w:tcW w:w="2410"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WT-215</w:t>
            </w:r>
          </w:p>
        </w:tc>
        <w:tc>
          <w:tcPr>
            <w:tcW w:w="2126"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16.36</w:t>
            </w:r>
          </w:p>
        </w:tc>
        <w:tc>
          <w:tcPr>
            <w:tcW w:w="1560" w:type="dxa"/>
            <w:vMerge w:val="restart"/>
            <w:tcBorders>
              <w:top w:val="single" w:sz="4" w:space="0" w:color="auto"/>
              <w:left w:val="nil"/>
              <w:bottom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{"citationItems":[{"id":"ITEM-1","itemData":{"DOI":"10.1007/s13399-012-0066-y","ISSN":"2190-6815","author":[{"dropping-particle":"","family":"Hoekman","given":"S. Kent","non-dropping-particle":"","parse-names":false,"suffix":""},{"dropping-particle":"","family":"Broch","given":"Amber","non-dropping-particle":"","parse-names":false,"suffix":""},{"dropping-particle":"","family":"Robbins","given":"Curtis","non-dropping-particle":"","parse-names":false,"suffix":""},{"dropping-particle":"","family":"Zielinska","given":"Barbara","non-dropping-particle":"","parse-names":false,"suffix":""},{"dropping-particle":"","family":"Felix","given":"Larry","non-dropping-particle":"","parse-names":false,"suffix":""}],"container-title":"Biomass Conversion and Biorefinery","id":"ITEM-1","issue":"2","issued":{"date-parts":[["2013","6"]]},"page":"113-126","title":"Hydrothermal carbonization (HTC) of selected woody and herbaceous biomass feedstocks","type":"article-journal","volume":"3"},"uris":["http://www.mendeley.com/documents/?uuid=4e3cc7a1-4593-4252-bcbf-ed8ce04e961a","http://www.mendeley.com/documents/?uuid=d8e7d2d2-8689-4494-813e-885d386f1c37"]}],"mendeley":{"formattedCitation":"[5]","plainTextFormattedCitation":"[5]","previouslyFormattedCitation":"[5]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[5]</w:t>
            </w:r>
            <w:r>
              <w:rPr>
                <w:rFonts w:ascii="Times New Roman" w:hAnsi="Times New Roman" w:cs="Times New Roman"/>
                <w:sz w:val="24"/>
                <w:szCs w:val="24"/>
              </w:rPr>
              <w:fldChar w:fldCharType="end"/>
            </w:r>
          </w:p>
        </w:tc>
      </w:tr>
      <w:tr>
        <w:trPr>
          <w:trHeight w:val="320"/>
        </w:trPr>
        <w:tc>
          <w:tcPr>
            <w:tcW w:w="2835" w:type="dxa"/>
            <w:vMerge/>
            <w:tcBorders>
              <w:top w:val="nil"/>
              <w:bottom w:val="nil"/>
              <w:right w:val="nil"/>
            </w:tcBorders>
            <w:noWrap/>
            <w:vAlign w:val="center"/>
            <w:hideMark/>
          </w:tcPr>
          <w:p>
            <w:pPr>
              <w:spacing w:after="0" w:line="360" w:lineRule="auto"/>
              <w:jc w:val="center"/>
              <w:rPr>
                <w:rFonts w:ascii="Times New Roman" w:hAnsi="Times New Roman" w:cs="Times New Roman"/>
                <w:sz w:val="24"/>
                <w:szCs w:val="24"/>
              </w:rPr>
            </w:pPr>
          </w:p>
        </w:tc>
        <w:tc>
          <w:tcPr>
            <w:tcW w:w="2410" w:type="dxa"/>
            <w:tcBorders>
              <w:top w:val="nil"/>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WT-235</w:t>
            </w:r>
          </w:p>
        </w:tc>
        <w:tc>
          <w:tcPr>
            <w:tcW w:w="2126" w:type="dxa"/>
            <w:tcBorders>
              <w:top w:val="nil"/>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16.15</w:t>
            </w:r>
          </w:p>
        </w:tc>
        <w:tc>
          <w:tcPr>
            <w:tcW w:w="1560" w:type="dxa"/>
            <w:vMerge/>
            <w:tcBorders>
              <w:top w:val="nil"/>
              <w:left w:val="nil"/>
              <w:bottom w:val="nil"/>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p>
        </w:tc>
        <w:tc>
          <w:tcPr>
            <w:tcW w:w="2410"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WT-255</w:t>
            </w:r>
          </w:p>
        </w:tc>
        <w:tc>
          <w:tcPr>
            <w:tcW w:w="2126"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17.89</w:t>
            </w:r>
          </w:p>
        </w:tc>
        <w:tc>
          <w:tcPr>
            <w:tcW w:w="1560" w:type="dxa"/>
            <w:vMerge/>
            <w:tcBorders>
              <w:top w:val="nil"/>
              <w:left w:val="nil"/>
              <w:bottom w:val="single" w:sz="4" w:space="0" w:color="auto"/>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val="restart"/>
            <w:tcBorders>
              <w:top w:val="single" w:sz="4" w:space="0" w:color="auto"/>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Corn Stover</w:t>
            </w:r>
          </w:p>
        </w:tc>
        <w:tc>
          <w:tcPr>
            <w:tcW w:w="2410"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WT-215</w:t>
            </w:r>
          </w:p>
        </w:tc>
        <w:tc>
          <w:tcPr>
            <w:tcW w:w="2126" w:type="dxa"/>
            <w:tcBorders>
              <w:top w:val="single" w:sz="4" w:space="0" w:color="auto"/>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20.04</w:t>
            </w:r>
          </w:p>
        </w:tc>
        <w:tc>
          <w:tcPr>
            <w:tcW w:w="1560" w:type="dxa"/>
            <w:vMerge w:val="restart"/>
            <w:tcBorders>
              <w:top w:val="single" w:sz="4" w:space="0" w:color="auto"/>
              <w:left w:val="nil"/>
              <w:bottom w:val="nil"/>
            </w:tcBorders>
            <w:noWrap/>
            <w:vAlign w:val="center"/>
            <w:hideMark/>
          </w:tcPr>
          <w:p>
            <w:pPr>
              <w:spacing w:after="0" w:line="360" w:lineRule="auto"/>
              <w:jc w:val="center"/>
              <w:rPr>
                <w:rFonts w:ascii="Times New Roman" w:hAnsi="Times New Roman" w:cs="Times New Roman"/>
                <w:sz w:val="24"/>
                <w:szCs w:val="24"/>
                <w:u w:val="single"/>
              </w:rPr>
            </w:pP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{"citationItems":[{"id":"ITEM-1","itemData":{"DOI":"10.1016/j.rser.2015.10.014","ISSN":"18790690","abstract":"Biomass pretreatment is an essential step prior to several thermochemical conversion processes. Wet torrefaction, a biomass pretreatment method in hydrothermal media or hot compressed water at temperatures within 180-260 °C, has been receiving a lot of attention because it possesses some advantages over other pretreatment methods. Apart from the undoubted benefits of upgrading biomass fuels to closer to coal properties, wet torrefaction has the capacity to work with wet or even extremely wet biomasses and enhance the ash removal from the biomass. The technology has recently attracted great interest from both academic groups and industrial companies. This review aims at providing a comprehensive overview of recent research and development activities in the field with focus on improvements in the chemical, physical and fuel properties of the solid product after wet torrefaction. Moreover, a brief introduction to dry torrefaction, a more conventional thermal pretreatment of biomass in the absence of oxygen under atmospheric pressure and in a temperature range of 200-300 °C, is also given and compared with wet torrefaction. Main differences in the properties of the solid products from the two torrefaction methods are also discussed.","author":[{"dropping-particle":"","family":"Bach","given":"Quang Vu","non-dropping-particle":"","parse-names":false,"suffix":""},{"dropping-particle":"","family":"Skreiberg","given":"Oyvind","non-dropping-particle":"","parse-names":false,"suffix":""}],"container-title":"Renewable and Sustainable Energy Reviews","id":"ITEM-1","issued":{"date-parts":[["2016"]]},"page":"665-677","publisher":"Elsevier","title":"Upgrading biomass fuels via wet torrefaction: A review and comparison with dry torrefaction","type":"article-journal","volume":"54"},"uris":["http://www.mendeley.com/documents/?uuid=363cdd0b-4b97-41a5-8946-88282ddd4ac1"]}],"mendeley":{"formattedCitation":"[2]","plainTextFormattedCitation":"[2]","previouslyFormattedCitation":"[2]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[2]</w:t>
            </w:r>
            <w:r>
              <w:rPr>
                <w:rFonts w:ascii="Times New Roman" w:hAnsi="Times New Roman" w:cs="Times New Roman"/>
                <w:sz w:val="24"/>
                <w:szCs w:val="24"/>
              </w:rPr>
              <w:fldChar w:fldCharType="end"/>
            </w:r>
          </w:p>
        </w:tc>
      </w:tr>
      <w:tr>
        <w:trPr>
          <w:trHeight w:val="320"/>
        </w:trPr>
        <w:tc>
          <w:tcPr>
            <w:tcW w:w="2835" w:type="dxa"/>
            <w:vMerge/>
            <w:tcBorders>
              <w:top w:val="nil"/>
              <w:bottom w:val="nil"/>
              <w:right w:val="nil"/>
            </w:tcBorders>
            <w:noWrap/>
            <w:vAlign w:val="center"/>
            <w:hideMark/>
          </w:tcPr>
          <w:p>
            <w:pPr>
              <w:spacing w:after="0" w:line="360" w:lineRule="auto"/>
              <w:jc w:val="center"/>
              <w:rPr>
                <w:rFonts w:ascii="Times New Roman" w:hAnsi="Times New Roman" w:cs="Times New Roman"/>
                <w:sz w:val="24"/>
                <w:szCs w:val="24"/>
                <w:u w:val="single"/>
              </w:rPr>
            </w:pPr>
          </w:p>
        </w:tc>
        <w:tc>
          <w:tcPr>
            <w:tcW w:w="2410" w:type="dxa"/>
            <w:tcBorders>
              <w:top w:val="nil"/>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WT-235</w:t>
            </w:r>
          </w:p>
        </w:tc>
        <w:tc>
          <w:tcPr>
            <w:tcW w:w="2126" w:type="dxa"/>
            <w:tcBorders>
              <w:top w:val="nil"/>
              <w:left w:val="nil"/>
              <w:bottom w:val="nil"/>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21.33</w:t>
            </w:r>
          </w:p>
        </w:tc>
        <w:tc>
          <w:tcPr>
            <w:tcW w:w="1560" w:type="dxa"/>
            <w:vMerge/>
            <w:tcBorders>
              <w:top w:val="nil"/>
              <w:left w:val="nil"/>
              <w:bottom w:val="nil"/>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vMerge/>
            <w:tcBorders>
              <w:top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p>
        </w:tc>
        <w:tc>
          <w:tcPr>
            <w:tcW w:w="2410"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WT-255</w:t>
            </w:r>
          </w:p>
        </w:tc>
        <w:tc>
          <w:tcPr>
            <w:tcW w:w="2126" w:type="dxa"/>
            <w:tcBorders>
              <w:top w:val="nil"/>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24.74</w:t>
            </w:r>
          </w:p>
        </w:tc>
        <w:tc>
          <w:tcPr>
            <w:tcW w:w="1560" w:type="dxa"/>
            <w:vMerge/>
            <w:tcBorders>
              <w:top w:val="nil"/>
              <w:left w:val="nil"/>
              <w:bottom w:val="single" w:sz="4" w:space="0" w:color="auto"/>
            </w:tcBorders>
            <w:noWrap/>
            <w:vAlign w:val="center"/>
            <w:hideMark/>
          </w:tcPr>
          <w:p>
            <w:pPr>
              <w:spacing w:after="0" w:line="360" w:lineRule="auto"/>
              <w:jc w:val="center"/>
              <w:rPr>
                <w:rFonts w:ascii="Times New Roman" w:hAnsi="Times New Roman" w:cs="Times New Roman"/>
                <w:sz w:val="24"/>
                <w:szCs w:val="24"/>
              </w:rPr>
            </w:pPr>
          </w:p>
        </w:tc>
      </w:tr>
      <w:tr>
        <w:trPr>
          <w:trHeight w:val="320"/>
        </w:trPr>
        <w:tc>
          <w:tcPr>
            <w:tcW w:w="2835" w:type="dxa"/>
            <w:tcBorders>
              <w:top w:val="single" w:sz="4" w:space="0" w:color="auto"/>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Palm Kernel Shell</w:t>
            </w:r>
          </w:p>
        </w:tc>
        <w:tc>
          <w:tcPr>
            <w:tcW w:w="2410" w:type="dxa"/>
            <w:tcBorders>
              <w:top w:val="single" w:sz="4" w:space="0" w:color="auto"/>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WT-220</w:t>
            </w:r>
          </w:p>
        </w:tc>
        <w:tc>
          <w:tcPr>
            <w:tcW w:w="2126" w:type="dxa"/>
            <w:tcBorders>
              <w:top w:val="single" w:sz="4" w:space="0" w:color="auto"/>
              <w:left w:val="nil"/>
              <w:bottom w:val="single" w:sz="4" w:space="0" w:color="auto"/>
              <w:right w:val="nil"/>
            </w:tcBorders>
            <w:noWrap/>
            <w:vAlign w:val="center"/>
            <w:hideMark/>
          </w:tcPr>
          <w:p>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23.40</w:t>
            </w:r>
          </w:p>
        </w:tc>
        <w:tc>
          <w:tcPr>
            <w:tcW w:w="1560" w:type="dxa"/>
            <w:tcBorders>
              <w:top w:val="single" w:sz="4" w:space="0" w:color="auto"/>
              <w:left w:val="nil"/>
              <w:bottom w:val="single" w:sz="4" w:space="0" w:color="auto"/>
            </w:tcBorders>
            <w:noWrap/>
            <w:vAlign w:val="center"/>
            <w:hideMark/>
          </w:tcPr>
          <w:p>
            <w:pPr>
              <w:spacing w:after="0" w:line="360" w:lineRule="auto"/>
              <w:jc w:val="center"/>
              <w:rPr>
                <w:rFonts w:ascii="Times New Roman" w:hAnsi="Times New Roman" w:cs="Times New Roman"/>
                <w:sz w:val="24"/>
                <w:szCs w:val="24"/>
                <w:u w:val="single"/>
              </w:rPr>
            </w:pPr>
            <w:r>
              <w:rPr>
                <w:rFonts w:ascii="Times New Roman" w:hAnsi="Times New Roman" w:cs="Times New Roman"/>
                <w:sz w:val="24"/>
                <w:szCs w:val="24"/>
                <w:u w:val="single"/>
              </w:rPr>
              <w:fldChar w:fldCharType="begin" w:fldLock="1"/>
            </w:r>
            <w:r>
              <w:rPr>
                <w:rFonts w:ascii="Times New Roman" w:hAnsi="Times New Roman" w:cs="Times New Roman"/>
                <w:sz w:val="24"/>
                <w:szCs w:val="24"/>
                <w:u w:val="single"/>
              </w:rPr>
              <w:instrText>ADDIN CSL_CITATION {"citationItems":[{"id":"ITEM-1","itemData":{"DOI":"10.1021/acs.energyfuels.9b02229","ISSN":"0887-0624","author":[{"dropping-particle":"","family":"Gan","given":"Ming Jiang","non-dropping-particle":"","parse-names":false,"suffix":""},{"dropping-particle":"","family":"Lim","given":"Wen Shyue","non-dropping-particle":"","parse-names":false,"suffix":""},{"dropping-particle":"","family":"Ng","given":"Han Xiang","non-dropping-particle":"","parse-names":false,"suffix":""},{"dropping-particle":"","family":"Ong","given":"Meng Hong","non-dropping-particle":"","parse-names":false,"suffix":""},{"dropping-particle":"","family":"Gan","given":"Suyin","non-dropping-particle":"","parse-names":false,"suffix":""},{"dropping-particle":"","family":"Lee","given":"Lai Yee","non-dropping-particle":"","parse-names":false,"suffix":""},{"dropping-particle":"","family":"Thangalazhy-Gopakumar","given":"Suchithra","non-dropping-particle":"","parse-names":false,"suffix":""}],"container-title":"Energy &amp; Fuels","id":"ITEM-1","issue":"11","issued":{"date-parts":[["2019","11"]]},"page":"11009-11020","title":"Enhancement of Palm Kernel Shell Fuel Properties via Wet Torrefaction: Response Surface, Optimization, and Combustion Studies","type":"article-journal","volume":"33"},"uris":["http://www.mendeley.com/documents/?uuid=327d0e78-a2dd-4786-979b-6ce697375a72","http://www.mendeley.com/documents/?uuid=3099025e-014d-4e60-8607-d27dfcb7c4cb"]}],"mendeley":{"formattedCitation":"[6]","plainTextFormattedCitation":"[6]","previouslyFormattedCitation":"[6]"},"properties":{"noteIndex":0},"schema":"https://github.com/citation-style-language/schema/raw/master/csl-citation.json"}</w:instrText>
            </w:r>
            <w:r>
              <w:rPr>
                <w:rFonts w:ascii="Times New Roman" w:hAnsi="Times New Roman" w:cs="Times New Roman"/>
                <w:sz w:val="24"/>
                <w:szCs w:val="24"/>
                <w:u w:val="single"/>
              </w:rPr>
              <w:fldChar w:fldCharType="separate"/>
            </w:r>
            <w:r>
              <w:rPr>
                <w:rFonts w:ascii="Times New Roman" w:hAnsi="Times New Roman" w:cs="Times New Roman"/>
                <w:noProof/>
                <w:sz w:val="24"/>
                <w:szCs w:val="24"/>
              </w:rPr>
              <w:t>[6]</w:t>
            </w:r>
            <w:r>
              <w:rPr>
                <w:rFonts w:ascii="Times New Roman" w:hAnsi="Times New Roman" w:cs="Times New Roman"/>
                <w:sz w:val="24"/>
                <w:szCs w:val="24"/>
              </w:rPr>
              <w:fldChar w:fldCharType="end"/>
            </w:r>
          </w:p>
        </w:tc>
      </w:tr>
    </w:tbl>
    <w:p>
      <w:pPr>
        <w:spacing w:after="0" w:line="480" w:lineRule="auto"/>
        <w:jc w:val="both"/>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br w:type="page"/>
      </w:r>
    </w:p>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pPr>
        <w:spacing w:after="0" w:line="480" w:lineRule="auto"/>
        <w:jc w:val="both"/>
        <w:rPr>
          <w:rFonts w:ascii="Times New Roman" w:hAnsi="Times New Roman" w:cs="Times New Roman"/>
          <w:b/>
          <w:bCs/>
          <w:sz w:val="24"/>
          <w:szCs w:val="24"/>
        </w:rPr>
      </w:pP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Pr>
          <w:rFonts w:ascii="Times New Roman" w:hAnsi="Times New Roman" w:cs="Times New Roman"/>
          <w:noProof/>
          <w:sz w:val="24"/>
          <w:szCs w:val="24"/>
        </w:rPr>
        <w:t>[1]</w:t>
      </w:r>
      <w:r>
        <w:rPr>
          <w:rFonts w:ascii="Times New Roman" w:hAnsi="Times New Roman" w:cs="Times New Roman"/>
          <w:noProof/>
          <w:sz w:val="24"/>
          <w:szCs w:val="24"/>
        </w:rPr>
        <w:tab/>
        <w:t>Park J-H, Choi Y-C, Lee Y-J, Kim H-T. Characteristics of Miscanthus Fuel by Wet Torrefaction on Fuel Upgrading and Gas Emission Behavior. Energies 2020;13:2669. https://doi.org/10.3390/en13102669.</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[2]</w:t>
      </w:r>
      <w:r>
        <w:rPr>
          <w:rFonts w:ascii="Times New Roman" w:hAnsi="Times New Roman" w:cs="Times New Roman"/>
          <w:noProof/>
          <w:sz w:val="24"/>
          <w:szCs w:val="24"/>
        </w:rPr>
        <w:tab/>
        <w:t>Bach QV, Skreiberg O. Upgrading biomass fuels via wet torrefaction: A review and comparison with dry torrefaction. Renew Sustain Energy Rev 2016;54:665–77. https://doi.org/10.1016/j.rser.2015.10.014.</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[3]</w:t>
      </w:r>
      <w:r>
        <w:rPr>
          <w:rFonts w:ascii="Times New Roman" w:hAnsi="Times New Roman" w:cs="Times New Roman"/>
          <w:noProof/>
          <w:sz w:val="24"/>
          <w:szCs w:val="24"/>
        </w:rPr>
        <w:tab/>
        <w:t>Bach QV, Tran KQ, Khalil RA, Skreiberg Ø, Seisenbaeva G. Comparative assessment of wet torrefaction. Energy and Fuels 2013;27:6743–53. https://doi.org/10.1021/ef401295w.</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[4]</w:t>
      </w:r>
      <w:r>
        <w:rPr>
          <w:rFonts w:ascii="Times New Roman" w:hAnsi="Times New Roman" w:cs="Times New Roman"/>
          <w:noProof/>
          <w:sz w:val="24"/>
          <w:szCs w:val="24"/>
        </w:rPr>
        <w:tab/>
        <w:t>Hoekman SK, Broch A, Robbins C. Hydrothermal Carbonization (HTC) of Lignocellulosic Biomass. Energy &amp; Fuels 2011;25:1802–10. https://doi.org/10.1021/ef101745n.</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[5]</w:t>
      </w:r>
      <w:r>
        <w:rPr>
          <w:rFonts w:ascii="Times New Roman" w:hAnsi="Times New Roman" w:cs="Times New Roman"/>
          <w:noProof/>
          <w:sz w:val="24"/>
          <w:szCs w:val="24"/>
        </w:rPr>
        <w:tab/>
        <w:t>Hoekman SK, Broch A, Robbins C, Zielinska B, Felix L. Hydrothermal carbonization (HTC) of selected woody and herbaceous biomass feedstocks. Biomass Convers Biorefinery 2013;3:113–26. https://doi.org/10.1007/s13399-012-0066-y.</w:t>
      </w:r>
    </w:p>
    <w:p>
      <w:pPr>
        <w:widowControl w:val="0"/>
        <w:autoSpaceDE w:val="0"/>
        <w:autoSpaceDN w:val="0"/>
        <w:adjustRightInd w:val="0"/>
        <w:spacing w:after="0" w:line="480" w:lineRule="auto"/>
        <w:ind w:left="640" w:hanging="640"/>
        <w:jc w:val="both"/>
        <w:rPr>
          <w:rFonts w:ascii="Times New Roman" w:hAnsi="Times New Roman" w:cs="Times New Roman"/>
          <w:noProof/>
          <w:sz w:val="24"/>
        </w:rPr>
      </w:pPr>
      <w:r>
        <w:rPr>
          <w:rFonts w:ascii="Times New Roman" w:hAnsi="Times New Roman" w:cs="Times New Roman"/>
          <w:noProof/>
          <w:sz w:val="24"/>
          <w:szCs w:val="24"/>
        </w:rPr>
        <w:t>[6]</w:t>
      </w:r>
      <w:r>
        <w:rPr>
          <w:rFonts w:ascii="Times New Roman" w:hAnsi="Times New Roman" w:cs="Times New Roman"/>
          <w:noProof/>
          <w:sz w:val="24"/>
          <w:szCs w:val="24"/>
        </w:rPr>
        <w:tab/>
        <w:t>Gan MJ, Lim WS, Ng HX, Ong MH, Gan S, Lee LY, et al. Enhancement of Palm Kernel Shell Fuel Properties via Wet Torrefaction: Response Surface, Optimization, and Combustion Studies. Energy &amp; Fuels 2019;33:11009–20. https://doi.org/10.1021/acs.energyfuels.9b02229.</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sect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4749815"/>
      <w:docPartObj>
        <w:docPartGallery w:val="Page Numbers (Bottom of Page)"/>
        <w:docPartUnique/>
      </w:docPartObj>
    </w:sdtPr>
    <w:sdtEndPr>
      <w:rPr>
        <w:noProof/>
      </w:rPr>
    </w:sdtEndPr>
    <w:sdtContent>
      <w:p>
        <w:pPr>
          <w:pStyle w:val="Footer"/>
          <w:jc w:val="right"/>
        </w:pPr>
        <w:r>
          <w:t>S</w:t>
        </w:r>
        <w:r>
          <w:fldChar w:fldCharType="begin"/>
        </w:r>
        <w:r>
          <w:instrText xml:space="preserve"> PAGE   \* MERGEFORMAT </w:instrText>
        </w:r>
        <w:r>
          <w:fldChar w:fldCharType="separate"/>
        </w:r>
        <w:r>
          <w:rPr>
            <w:noProof/>
          </w:rPr>
          <w:t>2</w:t>
        </w:r>
        <w:r>
          <w:rPr>
            <w:noProof/>
          </w:rPr>
          <w:fldChar w:fldCharType="end"/>
        </w:r>
      </w:p>
    </w:sdtContent>
  </w:sdt>
  <w:p>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MDU2tzC3NDE3MTAwMTRU0lEKTi0uzszPAykwrAUA8pKtvywAAAA="/>
  </w:docVar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E51082-4E3C-4901-A314-BDB06887C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style>
  <w:style w:type="paragraph" w:styleId="Caption">
    <w:name w:val="caption"/>
    <w:basedOn w:val="Normal"/>
    <w:next w:val="Normal"/>
    <w:uiPriority w:val="35"/>
    <w:unhideWhenUsed/>
    <w:qFormat/>
    <w:pPr>
      <w:spacing w:after="120" w:line="240" w:lineRule="auto"/>
    </w:pPr>
    <w:rPr>
      <w:rFonts w:eastAsiaTheme="minorEastAsia"/>
      <w:b/>
      <w:bCs/>
      <w:smallCaps/>
      <w:color w:val="595959" w:themeColor="text1" w:themeTint="A6"/>
      <w:spacing w:val="6"/>
      <w:sz w:val="20"/>
      <w:szCs w:val="20"/>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rPr>
      <w:lang w:val="en-GB"/>
    </w:rPr>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rPr>
      <w:lang w:val="en-GB"/>
    </w:rPr>
  </w:style>
  <w:style w:type="paragraph" w:styleId="NoSpacing">
    <w:name w:val="No Spacing"/>
    <w:uiPriority w:val="1"/>
    <w:qFormat/>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90C01D-AE3A-4214-9556-CA991F8975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11</Pages>
  <Words>3068</Words>
  <Characters>17492</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Andrii Kostyniuk</dc:creator>
  <cp:keywords/>
  <dc:description/>
  <cp:lastModifiedBy>Andrii Kostyniuk</cp:lastModifiedBy>
  <cp:revision>25</cp:revision>
  <dcterms:created xsi:type="dcterms:W3CDTF">2025-05-09T16:04:00Z</dcterms:created>
  <dcterms:modified xsi:type="dcterms:W3CDTF">2025-10-20T11:17:00Z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http://www.zotero.org/styles/acs-catalysis</vt:lpwstr>
  </property>
  <property fmtid="{D5CDD505-2E9C-101B-9397-08002B2CF9AE}" pid="3" name="Mendeley Recent Style Name 0_1">
    <vt:lpwstr>ACS Catalysis</vt:lpwstr>
  </property>
  <property fmtid="{D5CDD505-2E9C-101B-9397-08002B2CF9AE}" pid="4" name="Mendeley Recent Style Id 1_1">
    <vt:lpwstr>http://www.zotero.org/styles/bioresource-technology</vt:lpwstr>
  </property>
  <property fmtid="{D5CDD505-2E9C-101B-9397-08002B2CF9AE}" pid="5" name="Mendeley Recent Style Name 1_1">
    <vt:lpwstr>Bioresource Technology</vt:lpwstr>
  </property>
  <property fmtid="{D5CDD505-2E9C-101B-9397-08002B2CF9AE}" pid="6" name="Mendeley Recent Style Id 2_1">
    <vt:lpwstr>http://www.zotero.org/styles/chem</vt:lpwstr>
  </property>
  <property fmtid="{D5CDD505-2E9C-101B-9397-08002B2CF9AE}" pid="7" name="Mendeley Recent Style Name 2_1">
    <vt:lpwstr>Chem</vt:lpwstr>
  </property>
  <property fmtid="{D5CDD505-2E9C-101B-9397-08002B2CF9AE}" pid="8" name="Mendeley Recent Style Id 3_1">
    <vt:lpwstr>http://www.zotero.org/styles/chemical-engineering-journal</vt:lpwstr>
  </property>
  <property fmtid="{D5CDD505-2E9C-101B-9397-08002B2CF9AE}" pid="9" name="Mendeley Recent Style Name 3_1">
    <vt:lpwstr>Chemical Engineering Journal</vt:lpwstr>
  </property>
  <property fmtid="{D5CDD505-2E9C-101B-9397-08002B2CF9AE}" pid="10" name="Mendeley Recent Style Id 4_1">
    <vt:lpwstr>http://www.zotero.org/styles/energy-conversion-and-management</vt:lpwstr>
  </property>
  <property fmtid="{D5CDD505-2E9C-101B-9397-08002B2CF9AE}" pid="11" name="Mendeley Recent Style Name 4_1">
    <vt:lpwstr>Energy Conversion and Management</vt:lpwstr>
  </property>
  <property fmtid="{D5CDD505-2E9C-101B-9397-08002B2CF9AE}" pid="12" name="Mendeley Recent Style Id 5_1">
    <vt:lpwstr>http://www.zotero.org/styles/green-chemistry</vt:lpwstr>
  </property>
  <property fmtid="{D5CDD505-2E9C-101B-9397-08002B2CF9AE}" pid="13" name="Mendeley Recent Style Name 5_1">
    <vt:lpwstr>Green Chemistry</vt:lpwstr>
  </property>
  <property fmtid="{D5CDD505-2E9C-101B-9397-08002B2CF9AE}" pid="14" name="Mendeley Recent Style Id 6_1">
    <vt:lpwstr>http://www.zotero.org/styles/journal-of-environmental-chemical-engineering</vt:lpwstr>
  </property>
  <property fmtid="{D5CDD505-2E9C-101B-9397-08002B2CF9AE}" pid="15" name="Mendeley Recent Style Name 6_1">
    <vt:lpwstr>Journal of Environmental Chemical Engineering</vt:lpwstr>
  </property>
  <property fmtid="{D5CDD505-2E9C-101B-9397-08002B2CF9AE}" pid="16" name="Mendeley Recent Style Id 7_1">
    <vt:lpwstr>http://www.zotero.org/styles/journal-of-the-american-chemical-society</vt:lpwstr>
  </property>
  <property fmtid="{D5CDD505-2E9C-101B-9397-08002B2CF9AE}" pid="17" name="Mendeley Recent Style Name 7_1">
    <vt:lpwstr>Journal of the American Chemical Society</vt:lpwstr>
  </property>
  <property fmtid="{D5CDD505-2E9C-101B-9397-08002B2CF9AE}" pid="18" name="Mendeley Recent Style Id 8_1">
    <vt:lpwstr>http://www.zotero.org/styles/nature-chemistry</vt:lpwstr>
  </property>
  <property fmtid="{D5CDD505-2E9C-101B-9397-08002B2CF9AE}" pid="19" name="Mendeley Recent Style Name 8_1">
    <vt:lpwstr>Nature Chemistry</vt:lpwstr>
  </property>
  <property fmtid="{D5CDD505-2E9C-101B-9397-08002B2CF9AE}" pid="20" name="Mendeley Recent Style Id 9_1">
    <vt:lpwstr>http://www.zotero.org/styles/nature-communications</vt:lpwstr>
  </property>
  <property fmtid="{D5CDD505-2E9C-101B-9397-08002B2CF9AE}" pid="21" name="Mendeley Recent Style Name 9_1">
    <vt:lpwstr>Nature Communications</vt:lpwstr>
  </property>
  <property fmtid="{D5CDD505-2E9C-101B-9397-08002B2CF9AE}" pid="22" name="Mendeley Document_1">
    <vt:lpwstr>True</vt:lpwstr>
  </property>
  <property fmtid="{D5CDD505-2E9C-101B-9397-08002B2CF9AE}" pid="23" name="Mendeley Unique User Id_1">
    <vt:lpwstr>646a71f3-25d9-3816-83ea-d4c75b95823b</vt:lpwstr>
  </property>
  <property fmtid="{D5CDD505-2E9C-101B-9397-08002B2CF9AE}" pid="24" name="Mendeley Citation Style_1">
    <vt:lpwstr>http://www.zotero.org/styles/energy-conversion-and-management</vt:lpwstr>
  </property>
</Properties>
</file>